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CF" w:rsidRDefault="00526935">
      <w:pPr>
        <w:pStyle w:val="a6"/>
        <w:wordWrap w:val="0"/>
        <w:spacing w:beforeAutospacing="0" w:afterAutospacing="0" w:line="315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2021年唐山市城镇单位就业人员平均工资</w:t>
      </w:r>
    </w:p>
    <w:p w:rsidR="00D14DCF" w:rsidRDefault="00D14DCF">
      <w:pPr>
        <w:pStyle w:val="a6"/>
        <w:wordWrap w:val="0"/>
        <w:spacing w:beforeAutospacing="0" w:afterAutospacing="0" w:line="315" w:lineRule="atLeast"/>
        <w:jc w:val="center"/>
        <w:rPr>
          <w:rFonts w:ascii="宋体" w:eastAsia="宋体" w:hAnsi="宋体" w:cs="宋体"/>
          <w:bCs/>
          <w:color w:val="000000"/>
          <w:sz w:val="44"/>
          <w:szCs w:val="44"/>
          <w:shd w:val="clear" w:color="auto" w:fill="FFFFFF"/>
        </w:rPr>
      </w:pPr>
    </w:p>
    <w:p w:rsidR="00D14DCF" w:rsidRDefault="00526935" w:rsidP="00F34C47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t>一、2021年城镇非私营单位就业人员年平均工资</w:t>
      </w:r>
    </w:p>
    <w:p w:rsidR="00D14DCF" w:rsidRDefault="00526935">
      <w:pPr>
        <w:widowControl/>
        <w:spacing w:line="570" w:lineRule="exact"/>
        <w:ind w:firstLineChars="200" w:firstLine="605"/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</w:pP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2021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年全市城镇非私营单位就业人员年平均工资为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85892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元，比上年增加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6480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元，名义增长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vertAlign w:val="superscript"/>
          <w:lang w:bidi="ar"/>
        </w:rPr>
        <w:t>[1]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8.2%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，增速比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2020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年提高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3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个百分点。扣除价格因素，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2021</w:t>
      </w:r>
      <w:r w:rsidR="00F5314E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年全市城镇非私营单位就业人员年平均工资实际增</w:t>
      </w:r>
      <w:r w:rsidR="00F5314E" w:rsidRPr="00F5314E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长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7.2%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。</w:t>
      </w:r>
      <w:r w:rsidR="00B41EBA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其中</w:t>
      </w:r>
      <w:r w:rsidR="00B41EBA"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  <w:t>，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在岗职工（含劳务派遣人员</w:t>
      </w:r>
      <w:r w:rsidR="000271DE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）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平均工资为90049元，比上年增加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7566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元，同比增长9.2%，增速比2020年提高3.4个百分点。扣除价格因素，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2021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年全市城镇非私营单位在岗职工（含劳务派遣人员</w:t>
      </w:r>
      <w:r w:rsidR="000271DE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）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年平均工资实际增长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8.2%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。</w:t>
      </w:r>
    </w:p>
    <w:p w:rsidR="00D14DCF" w:rsidRPr="00043D98" w:rsidRDefault="004E020A">
      <w:pPr>
        <w:widowControl/>
        <w:spacing w:beforeLines="50" w:before="144" w:line="375" w:lineRule="atLeast"/>
        <w:ind w:firstLine="482"/>
        <w:jc w:val="center"/>
        <w:rPr>
          <w:rFonts w:asciiTheme="minorEastAsia" w:hAnsiTheme="minorEastAsia" w:cs="宋体"/>
          <w:b/>
          <w:bCs/>
          <w:color w:val="333333"/>
          <w:kern w:val="0"/>
          <w:sz w:val="24"/>
          <w:lang w:bidi="a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455295</wp:posOffset>
            </wp:positionV>
            <wp:extent cx="5572125" cy="3581400"/>
            <wp:effectExtent l="0" t="0" r="9525" b="0"/>
            <wp:wrapTopAndBottom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41A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图1  </w:t>
      </w:r>
      <w:r w:rsidR="00526935"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2012-2021</w:t>
      </w:r>
      <w:r w:rsidR="00526935" w:rsidRPr="00043D98">
        <w:rPr>
          <w:rFonts w:asciiTheme="minorEastAsia" w:hAnsiTheme="minorEastAsia" w:cs="宋体" w:hint="eastAsia"/>
          <w:b/>
          <w:bCs/>
          <w:color w:val="333333"/>
          <w:kern w:val="0"/>
          <w:sz w:val="24"/>
          <w:lang w:bidi="ar"/>
        </w:rPr>
        <w:t>年城镇非私营单位就业人员年平均工资及增速</w:t>
      </w:r>
    </w:p>
    <w:p w:rsidR="00D14DCF" w:rsidRDefault="004E020A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lastRenderedPageBreak/>
        <w:t>分行业门类看，19个行业门类中，高于全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市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平均水平的行业有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7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个，低于全</w:t>
      </w:r>
      <w:r w:rsidR="00B41EB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市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平均水平的行业有1</w:t>
      </w:r>
      <w:r w:rsidR="00C37D56"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个。</w:t>
      </w:r>
    </w:p>
    <w:p w:rsidR="00D14DCF" w:rsidRDefault="00526935" w:rsidP="00043D98">
      <w:pPr>
        <w:widowControl/>
        <w:spacing w:beforeLines="50" w:before="144" w:line="375" w:lineRule="atLeast"/>
        <w:ind w:firstLine="482"/>
        <w:jc w:val="center"/>
        <w:rPr>
          <w:rFonts w:ascii="宋体" w:eastAsia="宋体" w:hAnsi="宋体" w:cs="宋体"/>
          <w:color w:val="333333"/>
          <w:kern w:val="0"/>
          <w:sz w:val="24"/>
          <w:lang w:bidi="ar"/>
        </w:rPr>
      </w:pP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表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1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　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2021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年城镇非私营单位分行业就业人员年平均工资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</w:t>
      </w:r>
    </w:p>
    <w:p w:rsidR="00D14DCF" w:rsidRPr="00705D76" w:rsidRDefault="00526935" w:rsidP="00705D76">
      <w:pPr>
        <w:widowControl/>
        <w:spacing w:line="375" w:lineRule="exact"/>
        <w:ind w:right="111"/>
        <w:jc w:val="right"/>
        <w:textAlignment w:val="center"/>
        <w:rPr>
          <w:rFonts w:asciiTheme="minorEastAsia" w:hAnsiTheme="minorEastAsia" w:cs="宋体"/>
          <w:color w:val="000000"/>
          <w:kern w:val="0"/>
          <w:sz w:val="24"/>
          <w:lang w:bidi="ar"/>
        </w:rPr>
      </w:pPr>
      <w:r w:rsidRPr="00705D76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单位：元</w:t>
      </w:r>
    </w:p>
    <w:tbl>
      <w:tblPr>
        <w:tblW w:w="0" w:type="auto"/>
        <w:jc w:val="center"/>
        <w:tblBorders>
          <w:top w:val="single" w:sz="18" w:space="0" w:color="000000"/>
          <w:bottom w:val="single" w:sz="18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268"/>
      </w:tblGrid>
      <w:tr w:rsidR="00BE3820" w:rsidRPr="00385F0D" w:rsidTr="00F34C47">
        <w:trPr>
          <w:trHeight w:val="426"/>
          <w:jc w:val="center"/>
        </w:trPr>
        <w:tc>
          <w:tcPr>
            <w:tcW w:w="42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820" w:rsidRPr="00526935" w:rsidRDefault="00BE3820" w:rsidP="00BE382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 w:rsidRPr="00526935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lang w:bidi="ar"/>
              </w:rPr>
              <w:t xml:space="preserve">行　</w:t>
            </w:r>
            <w:r w:rsidRPr="00526935">
              <w:rPr>
                <w:rStyle w:val="font31"/>
                <w:rFonts w:eastAsia="宋体"/>
                <w:b/>
                <w:lang w:bidi="ar"/>
              </w:rPr>
              <w:t xml:space="preserve"> </w:t>
            </w:r>
            <w:r w:rsidRPr="00526935">
              <w:rPr>
                <w:rStyle w:val="font01"/>
                <w:rFonts w:hint="default"/>
                <w:b/>
                <w:lang w:bidi="ar"/>
              </w:rPr>
              <w:t>业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E3820" w:rsidRPr="00BE3820" w:rsidRDefault="00BE3820" w:rsidP="005E1585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E3820">
              <w:rPr>
                <w:rFonts w:hint="eastAsia"/>
                <w:b/>
                <w:kern w:val="0"/>
                <w:sz w:val="24"/>
                <w:lang w:bidi="ar"/>
              </w:rPr>
              <w:t>就业人员</w:t>
            </w:r>
            <w:r w:rsidR="005E1585">
              <w:rPr>
                <w:rFonts w:hint="eastAsia"/>
                <w:b/>
                <w:kern w:val="0"/>
                <w:sz w:val="24"/>
                <w:lang w:bidi="ar"/>
              </w:rPr>
              <w:t>平均工资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E3820" w:rsidRPr="00BE3820" w:rsidRDefault="00BE3820" w:rsidP="00BE3820">
            <w:pPr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E3820" w:rsidRPr="00385F0D" w:rsidTr="00F34C47">
        <w:trPr>
          <w:trHeight w:val="510"/>
          <w:jc w:val="center"/>
        </w:trPr>
        <w:tc>
          <w:tcPr>
            <w:tcW w:w="4253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820" w:rsidRPr="00526935" w:rsidRDefault="00BE3820" w:rsidP="00BE382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E3820" w:rsidRPr="00BE3820" w:rsidRDefault="00BE3820" w:rsidP="00BE3820">
            <w:pPr>
              <w:widowControl/>
              <w:spacing w:line="480" w:lineRule="exact"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E3820" w:rsidRPr="00BE3820" w:rsidRDefault="00BE3820" w:rsidP="005E15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lang w:bidi="ar"/>
              </w:rPr>
            </w:pPr>
            <w:r w:rsidRPr="00BE3820">
              <w:rPr>
                <w:rFonts w:hint="eastAsia"/>
                <w:b/>
                <w:kern w:val="0"/>
                <w:sz w:val="24"/>
                <w:lang w:bidi="ar"/>
              </w:rPr>
              <w:t>在岗职工（含劳务派遣人员）</w:t>
            </w:r>
            <w:r w:rsidR="005E1585">
              <w:rPr>
                <w:rFonts w:hint="eastAsia"/>
                <w:b/>
                <w:kern w:val="0"/>
                <w:sz w:val="24"/>
                <w:lang w:bidi="ar"/>
              </w:rPr>
              <w:t>平均工资</w:t>
            </w:r>
          </w:p>
        </w:tc>
      </w:tr>
      <w:tr w:rsidR="00BE3820" w:rsidRPr="00043D98" w:rsidTr="00F34C47">
        <w:trPr>
          <w:trHeight w:val="363"/>
          <w:jc w:val="center"/>
        </w:trPr>
        <w:tc>
          <w:tcPr>
            <w:tcW w:w="4253" w:type="dxa"/>
            <w:tcBorders>
              <w:top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 w:rsidRPr="005269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计                                          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043D98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043D98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85892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90049   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农、林、牧、渔业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47725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50090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采矿业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99915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100026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制造业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87900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88504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电力、热力、燃气及水生产和供应业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136277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139520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建筑业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85633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88457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批发和零售业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58082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58319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交通运输、仓储和邮政业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88987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89639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住宿和餐饮业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43592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43988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信息传输、软件和信息技术服务业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102548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103073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金融业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80026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120432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房地产业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76429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76909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租赁和商务服务业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56467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57623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科学研究和技术服务业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85132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85646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水利、环境和公共设施管理业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50568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57737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居民服务、修理和其他服务业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41849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42101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教育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95679 </w:t>
            </w: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97977 </w:t>
            </w:r>
          </w:p>
        </w:tc>
      </w:tr>
      <w:tr w:rsidR="00BE3820" w:rsidTr="00F34C47">
        <w:trPr>
          <w:trHeight w:val="419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卫生和社会工作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93671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99651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文化、体育和娱乐业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63777 </w:t>
            </w:r>
          </w:p>
        </w:tc>
        <w:tc>
          <w:tcPr>
            <w:tcW w:w="2268" w:type="dxa"/>
            <w:tcBorders>
              <w:left w:val="single" w:sz="12" w:space="0" w:color="000000"/>
              <w:bottom w:val="nil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66101 </w:t>
            </w:r>
          </w:p>
        </w:tc>
      </w:tr>
      <w:tr w:rsidR="00BE3820" w:rsidTr="00F34C47">
        <w:trPr>
          <w:trHeight w:val="363"/>
          <w:jc w:val="center"/>
        </w:trPr>
        <w:tc>
          <w:tcPr>
            <w:tcW w:w="4253" w:type="dxa"/>
            <w:tcBorders>
              <w:top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Default="00BE3820" w:rsidP="00287205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公共管理、社会保障和社会组织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E3820" w:rsidRPr="00526935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73872 </w:t>
            </w: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BE3820" w:rsidRPr="00385F0D" w:rsidRDefault="00BE3820" w:rsidP="00287205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385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79829 </w:t>
            </w:r>
          </w:p>
        </w:tc>
      </w:tr>
    </w:tbl>
    <w:p w:rsidR="00D14DCF" w:rsidRDefault="00526935" w:rsidP="00F34C47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lastRenderedPageBreak/>
        <w:t>二、2021年城镇私营单位就业人员年平均工资</w:t>
      </w:r>
    </w:p>
    <w:p w:rsidR="00D14DCF" w:rsidRDefault="00526935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2021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年全市城镇私营单位就业人员年平均工资为51669 元，比上年增加3015元，名义增长6.2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%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，增速比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2020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年提高2.8个百分点。扣除价格因素，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2021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年全市城镇私营单位就业人员年平均工资实际增长5.2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%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。</w:t>
      </w:r>
      <w:r w:rsidR="006B4D7F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其中</w:t>
      </w:r>
      <w:r w:rsidR="006B4D7F"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，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在岗职工（含劳务派遣人员</w:t>
      </w:r>
      <w:r w:rsidR="00534129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）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平均工资为51637元，比上年增加2904元，同比增长6.0%。扣除价格因素，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2021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年全市城镇私营单位在岗职工（含劳务派遣人员</w:t>
      </w:r>
      <w:r w:rsidR="00534129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）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年平均工资实际增长5.0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%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。</w:t>
      </w:r>
    </w:p>
    <w:p w:rsidR="00D14DCF" w:rsidRPr="00043D98" w:rsidRDefault="00C70F9C" w:rsidP="00043D98">
      <w:pPr>
        <w:widowControl/>
        <w:spacing w:beforeLines="50" w:before="144" w:line="375" w:lineRule="atLeast"/>
        <w:ind w:firstLine="482"/>
        <w:jc w:val="center"/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515620</wp:posOffset>
            </wp:positionV>
            <wp:extent cx="5600700" cy="3267075"/>
            <wp:effectExtent l="0" t="0" r="0" b="952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41A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图2  </w:t>
      </w:r>
      <w:r w:rsidR="00526935"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2012-2021</w:t>
      </w:r>
      <w:r w:rsidR="00526935"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年城镇私营单位就业人员年平均工资及增速</w:t>
      </w:r>
    </w:p>
    <w:p w:rsidR="00C37D56" w:rsidRDefault="00C37D56" w:rsidP="00C70F9C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分行业门类看，1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8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个行业门类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（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城镇私营单位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中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无</w:t>
      </w:r>
      <w:r w:rsidRPr="00C37D56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公共管理、社会保障和社会组织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行业）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中，高于全</w:t>
      </w:r>
      <w:r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市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平均水平的行业有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6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个，低于全</w:t>
      </w:r>
      <w:r w:rsidR="00B41EB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市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平均水平的行业有1</w:t>
      </w:r>
      <w:r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</w:t>
      </w:r>
      <w:r w:rsidRPr="004E020A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个。</w:t>
      </w:r>
    </w:p>
    <w:p w:rsidR="00C70F9C" w:rsidRPr="00C70F9C" w:rsidRDefault="00C70F9C" w:rsidP="00C70F9C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D14DCF" w:rsidRPr="00043D98" w:rsidRDefault="00526935" w:rsidP="00F51B14">
      <w:pPr>
        <w:widowControl/>
        <w:spacing w:line="375" w:lineRule="exact"/>
        <w:ind w:firstLineChars="200" w:firstLine="446"/>
        <w:jc w:val="center"/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</w:pP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表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　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2021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年城镇私营单位分行业就业人员年平均工资</w:t>
      </w:r>
    </w:p>
    <w:p w:rsidR="00D14DCF" w:rsidRPr="00C37D56" w:rsidRDefault="00526935" w:rsidP="007D710F">
      <w:pPr>
        <w:widowControl/>
        <w:spacing w:line="375" w:lineRule="exact"/>
        <w:ind w:right="111"/>
        <w:jc w:val="right"/>
        <w:textAlignment w:val="center"/>
        <w:rPr>
          <w:rFonts w:asciiTheme="minorEastAsia" w:hAnsiTheme="minorEastAsia" w:cs="宋体"/>
          <w:color w:val="000000"/>
          <w:kern w:val="0"/>
          <w:sz w:val="24"/>
          <w:lang w:bidi="ar"/>
        </w:rPr>
      </w:pPr>
      <w:r w:rsidRPr="00C37D56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单位：元</w:t>
      </w:r>
    </w:p>
    <w:tbl>
      <w:tblPr>
        <w:tblW w:w="8789" w:type="dxa"/>
        <w:tblBorders>
          <w:top w:val="single" w:sz="18" w:space="0" w:color="000000"/>
          <w:bottom w:val="single" w:sz="18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349"/>
        <w:gridCol w:w="2329"/>
      </w:tblGrid>
      <w:tr w:rsidR="007E20F8" w:rsidRPr="002E66CA" w:rsidTr="00F34C47">
        <w:trPr>
          <w:trHeight w:val="480"/>
        </w:trPr>
        <w:tc>
          <w:tcPr>
            <w:tcW w:w="411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</w:pPr>
            <w:r w:rsidRP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 xml:space="preserve">行　</w:t>
            </w:r>
            <w:r w:rsidRPr="002E66CA"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  <w:t xml:space="preserve"> </w:t>
            </w:r>
            <w:r w:rsidRPr="002E66CA">
              <w:rPr>
                <w:rFonts w:asciiTheme="minorEastAsia" w:hAnsiTheme="minorEastAsia" w:cs="Times New Roman"/>
                <w:b/>
                <w:kern w:val="0"/>
                <w:sz w:val="24"/>
              </w:rPr>
              <w:t>业</w:t>
            </w:r>
          </w:p>
        </w:tc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7E20F8" w:rsidRPr="002E66CA" w:rsidRDefault="007E20F8" w:rsidP="007E20F8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</w:pPr>
            <w:r w:rsidRP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就业人员</w:t>
            </w:r>
            <w:r w:rsid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平均工资</w:t>
            </w:r>
          </w:p>
        </w:tc>
        <w:tc>
          <w:tcPr>
            <w:tcW w:w="2329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sz w:val="24"/>
              </w:rPr>
            </w:pPr>
          </w:p>
        </w:tc>
      </w:tr>
      <w:tr w:rsidR="007E20F8" w:rsidRPr="002E66CA" w:rsidTr="00F34C47">
        <w:trPr>
          <w:trHeight w:val="480"/>
        </w:trPr>
        <w:tc>
          <w:tcPr>
            <w:tcW w:w="411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Style w:val="a7"/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2E66CA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</w:pPr>
            <w:r w:rsidRP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在岗职工（含劳务派遣人员）</w:t>
            </w:r>
            <w:r w:rsid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平均工资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top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5269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 w:rsidRPr="005269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计                                              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 xml:space="preserve">51669 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lang w:bidi="ar"/>
              </w:rPr>
              <w:t xml:space="preserve">51637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农、林、牧、渔业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43406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43441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采矿业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49889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49957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制造业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57257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57517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电力、热力、燃气及水生产和供应业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54381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54465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建筑业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50712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50115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批发和零售业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43294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43629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交通运输、仓储和邮政业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58456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58496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住宿和餐饮业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36125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36109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ind w:firstLineChars="100" w:firstLine="222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信息传输、软件和信息技术服务业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46814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47935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金融业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65611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65373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房地产业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41991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41573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租赁和商务服务业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52133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49838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科学研究和技术服务业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51881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51462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水利、环境和公共设施管理业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37290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31359 </w:t>
            </w:r>
          </w:p>
        </w:tc>
      </w:tr>
      <w:tr w:rsidR="00111E11" w:rsidTr="00F34C47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居民服务、修理和其他服务业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39007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38974 </w:t>
            </w:r>
          </w:p>
        </w:tc>
      </w:tr>
      <w:tr w:rsidR="00111E11" w:rsidTr="00F34C47">
        <w:trPr>
          <w:trHeight w:val="360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教育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37175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37255 </w:t>
            </w:r>
          </w:p>
        </w:tc>
      </w:tr>
      <w:tr w:rsidR="00111E11" w:rsidTr="00F34C47">
        <w:trPr>
          <w:trHeight w:val="360"/>
        </w:trPr>
        <w:tc>
          <w:tcPr>
            <w:tcW w:w="4111" w:type="dxa"/>
            <w:tcBorders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卫生和社会工作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46322 </w:t>
            </w:r>
          </w:p>
        </w:tc>
        <w:tc>
          <w:tcPr>
            <w:tcW w:w="2329" w:type="dxa"/>
            <w:tcBorders>
              <w:left w:val="single" w:sz="12" w:space="0" w:color="000000"/>
              <w:bottom w:val="nil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46619 </w:t>
            </w:r>
          </w:p>
        </w:tc>
      </w:tr>
      <w:tr w:rsidR="00111E11" w:rsidTr="00F34C47">
        <w:trPr>
          <w:trHeight w:val="360"/>
        </w:trPr>
        <w:tc>
          <w:tcPr>
            <w:tcW w:w="4111" w:type="dxa"/>
            <w:tcBorders>
              <w:top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Default="00111E11" w:rsidP="00111E11">
            <w:pPr>
              <w:widowControl/>
              <w:spacing w:line="440" w:lineRule="exact"/>
              <w:ind w:firstLineChars="100" w:firstLine="222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文化、体育和娱乐业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111E11" w:rsidRPr="00526935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526935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 xml:space="preserve">40867 </w:t>
            </w:r>
          </w:p>
        </w:tc>
        <w:tc>
          <w:tcPr>
            <w:tcW w:w="2329" w:type="dxa"/>
            <w:tcBorders>
              <w:top w:val="nil"/>
              <w:left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111E11" w:rsidRPr="00111E11" w:rsidRDefault="00111E11" w:rsidP="00111E11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111E11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40698 </w:t>
            </w:r>
          </w:p>
        </w:tc>
      </w:tr>
    </w:tbl>
    <w:p w:rsidR="00F51B14" w:rsidRDefault="00526935" w:rsidP="00F34C47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color w:val="000000"/>
          <w:sz w:val="32"/>
          <w:szCs w:val="32"/>
          <w:shd w:val="clear" w:color="auto" w:fill="FFFFFF"/>
        </w:rPr>
      </w:pPr>
      <w:r w:rsidRPr="00526935"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t>三、2021年规模以上企业就业人员分岗位年平均工资</w:t>
      </w:r>
    </w:p>
    <w:p w:rsidR="00D14DCF" w:rsidRDefault="00526935" w:rsidP="00F34C47">
      <w:pPr>
        <w:pStyle w:val="a6"/>
        <w:wordWrap w:val="0"/>
        <w:spacing w:beforeAutospacing="0" w:afterAutospacing="0" w:line="570" w:lineRule="exact"/>
        <w:ind w:firstLineChars="200" w:firstLine="605"/>
        <w:jc w:val="both"/>
        <w:rPr>
          <w:rFonts w:ascii="方正仿宋简体" w:eastAsia="方正仿宋简体" w:hAnsi="Times New Roman"/>
          <w:color w:val="333333"/>
          <w:sz w:val="32"/>
          <w:szCs w:val="32"/>
          <w:lang w:bidi="ar"/>
        </w:rPr>
      </w:pPr>
      <w:r w:rsidRPr="00526935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2021年全市规模以上企业就业人员年平均工资为76979元，比</w:t>
      </w:r>
      <w:r w:rsidRPr="00526935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lastRenderedPageBreak/>
        <w:t>上年增加6868元，名义增长9.8%。扣除价格因素，全</w:t>
      </w:r>
      <w:r w:rsidR="009B68D8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市</w:t>
      </w:r>
      <w:r w:rsidRPr="00526935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规模以上企业就业人员</w:t>
      </w:r>
      <w:r w:rsidR="00B9683F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年</w:t>
      </w:r>
      <w:r w:rsidRPr="00526935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平均工资实际增长8.8%。</w:t>
      </w:r>
    </w:p>
    <w:p w:rsidR="00D14DCF" w:rsidRPr="00B41EBA" w:rsidRDefault="00526935" w:rsidP="00F51B14">
      <w:pPr>
        <w:widowControl/>
        <w:spacing w:beforeLines="50" w:before="144" w:line="375" w:lineRule="exact"/>
        <w:ind w:firstLine="482"/>
        <w:jc w:val="center"/>
        <w:rPr>
          <w:rFonts w:asciiTheme="minorEastAsia" w:hAnsiTheme="minorEastAsia" w:cs="Times New Roman"/>
          <w:b/>
          <w:bCs/>
          <w:kern w:val="0"/>
          <w:sz w:val="24"/>
          <w:lang w:bidi="ar"/>
        </w:rPr>
      </w:pP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表</w:t>
      </w:r>
      <w:r w:rsidRPr="00B41EBA">
        <w:rPr>
          <w:rFonts w:asciiTheme="minorEastAsia" w:hAnsiTheme="minorEastAsia" w:cs="Times New Roman"/>
          <w:b/>
          <w:bCs/>
          <w:kern w:val="0"/>
          <w:sz w:val="24"/>
          <w:lang w:bidi="ar"/>
        </w:rPr>
        <w:t>3</w:t>
      </w: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 xml:space="preserve"> </w:t>
      </w:r>
      <w:r w:rsidRPr="00B41EBA">
        <w:rPr>
          <w:rFonts w:asciiTheme="minorEastAsia" w:hAnsiTheme="minorEastAsia" w:cs="Times New Roman"/>
          <w:b/>
          <w:bCs/>
          <w:kern w:val="0"/>
          <w:sz w:val="24"/>
          <w:lang w:bidi="ar"/>
        </w:rPr>
        <w:t xml:space="preserve"> </w:t>
      </w: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2021年分岗位就业人员年平均工资</w:t>
      </w:r>
    </w:p>
    <w:tbl>
      <w:tblPr>
        <w:tblW w:w="87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729"/>
        <w:gridCol w:w="3141"/>
      </w:tblGrid>
      <w:tr w:rsidR="00D14DCF" w:rsidRPr="00705D76" w:rsidTr="00526935">
        <w:trPr>
          <w:gridBefore w:val="1"/>
          <w:wBefore w:w="1844" w:type="dxa"/>
          <w:trHeight w:val="181"/>
          <w:jc w:val="center"/>
        </w:trPr>
        <w:tc>
          <w:tcPr>
            <w:tcW w:w="687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C37D56" w:rsidRDefault="00526935" w:rsidP="00705D76">
            <w:pPr>
              <w:widowControl/>
              <w:spacing w:line="375" w:lineRule="exact"/>
              <w:ind w:right="111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C37D56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 单位：</w:t>
            </w:r>
            <w:bookmarkStart w:id="0" w:name="_GoBack"/>
            <w:bookmarkEnd w:id="0"/>
            <w:r w:rsidRPr="00C37D56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元</w:t>
            </w:r>
          </w:p>
        </w:tc>
      </w:tr>
      <w:tr w:rsidR="00D14DCF" w:rsidTr="00F34C47">
        <w:trPr>
          <w:trHeight w:val="181"/>
          <w:jc w:val="center"/>
        </w:trPr>
        <w:tc>
          <w:tcPr>
            <w:tcW w:w="557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526935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="微软雅黑" w:eastAsia="微软雅黑" w:hAnsi="微软雅黑" w:cs="微软雅黑"/>
              </w:rPr>
            </w:pPr>
            <w:r w:rsidRPr="00526935">
              <w:rPr>
                <w:rFonts w:ascii="微软雅黑" w:eastAsia="微软雅黑" w:hAnsi="微软雅黑" w:cs="微软雅黑" w:hint="eastAsia"/>
                <w:color w:val="000000"/>
              </w:rPr>
              <w:t> </w:t>
            </w:r>
          </w:p>
        </w:tc>
        <w:tc>
          <w:tcPr>
            <w:tcW w:w="3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526935" w:rsidRDefault="00526935" w:rsidP="00526935">
            <w:pPr>
              <w:pStyle w:val="a6"/>
              <w:widowControl/>
              <w:wordWrap w:val="0"/>
              <w:spacing w:beforeAutospacing="0" w:afterAutospacing="0"/>
              <w:ind w:firstLineChars="350" w:firstLine="781"/>
              <w:rPr>
                <w:rFonts w:ascii="微软雅黑" w:eastAsia="微软雅黑" w:hAnsi="微软雅黑" w:cs="微软雅黑"/>
              </w:rPr>
            </w:pPr>
            <w:r w:rsidRPr="00526935">
              <w:rPr>
                <w:rStyle w:val="a7"/>
                <w:rFonts w:ascii="宋体" w:eastAsia="宋体" w:hAnsi="宋体" w:cs="宋体" w:hint="eastAsia"/>
                <w:color w:val="000000"/>
              </w:rPr>
              <w:t>就业人员平均工资</w:t>
            </w:r>
          </w:p>
        </w:tc>
      </w:tr>
      <w:tr w:rsidR="00D14DCF" w:rsidRPr="00043D98" w:rsidTr="00F34C47">
        <w:trPr>
          <w:trHeight w:val="181"/>
          <w:jc w:val="center"/>
        </w:trPr>
        <w:tc>
          <w:tcPr>
            <w:tcW w:w="5573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 w:rsidP="00C37D56">
            <w:pPr>
              <w:pStyle w:val="a6"/>
              <w:widowControl/>
              <w:wordWrap w:val="0"/>
              <w:spacing w:beforeAutospacing="0" w:afterAutospacing="0"/>
              <w:ind w:firstLineChars="50" w:firstLine="112"/>
              <w:rPr>
                <w:rFonts w:asciiTheme="minorEastAsia" w:hAnsiTheme="minorEastAsia" w:cs="微软雅黑"/>
                <w:b/>
              </w:rPr>
            </w:pPr>
            <w:r w:rsidRPr="00043D98">
              <w:rPr>
                <w:rStyle w:val="a7"/>
                <w:rFonts w:asciiTheme="minorEastAsia" w:hAnsiTheme="minorEastAsia" w:cs="宋体" w:hint="eastAsia"/>
                <w:color w:val="000000"/>
              </w:rPr>
              <w:t>合</w:t>
            </w:r>
            <w:r w:rsidR="0036741A">
              <w:rPr>
                <w:rStyle w:val="a7"/>
                <w:rFonts w:asciiTheme="minorEastAsia" w:hAnsiTheme="minorEastAsia" w:cs="宋体" w:hint="eastAsia"/>
                <w:color w:val="000000"/>
              </w:rPr>
              <w:t xml:space="preserve">  </w:t>
            </w:r>
            <w:r w:rsidRPr="00043D98">
              <w:rPr>
                <w:rStyle w:val="a7"/>
                <w:rFonts w:asciiTheme="minorEastAsia" w:hAnsiTheme="minorEastAsia" w:cs="宋体" w:hint="eastAsia"/>
                <w:color w:val="000000"/>
              </w:rPr>
              <w:t>计</w:t>
            </w:r>
          </w:p>
        </w:tc>
        <w:tc>
          <w:tcPr>
            <w:tcW w:w="3141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26935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b/>
                <w:sz w:val="24"/>
              </w:rPr>
            </w:pPr>
            <w:r w:rsidRPr="00043D9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76979</w:t>
            </w:r>
          </w:p>
        </w:tc>
      </w:tr>
      <w:tr w:rsidR="00D14DCF" w:rsidTr="00F34C47">
        <w:trPr>
          <w:trHeight w:val="181"/>
          <w:jc w:val="center"/>
        </w:trPr>
        <w:tc>
          <w:tcPr>
            <w:tcW w:w="5573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中层及以上管理人员</w:t>
            </w:r>
          </w:p>
        </w:tc>
        <w:tc>
          <w:tcPr>
            <w:tcW w:w="3141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26935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144042</w:t>
            </w:r>
          </w:p>
        </w:tc>
      </w:tr>
      <w:tr w:rsidR="00D14DCF" w:rsidTr="00F34C47">
        <w:trPr>
          <w:trHeight w:val="181"/>
          <w:jc w:val="center"/>
        </w:trPr>
        <w:tc>
          <w:tcPr>
            <w:tcW w:w="5573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专业技术人员</w:t>
            </w:r>
          </w:p>
        </w:tc>
        <w:tc>
          <w:tcPr>
            <w:tcW w:w="3141" w:type="dxa"/>
            <w:tcBorders>
              <w:left w:val="single" w:sz="12" w:space="0" w:color="00000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4DCF" w:rsidRPr="00043D98" w:rsidRDefault="00526935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93620</w:t>
            </w:r>
          </w:p>
        </w:tc>
      </w:tr>
      <w:tr w:rsidR="00D14DCF" w:rsidTr="00F34C47">
        <w:trPr>
          <w:trHeight w:val="181"/>
          <w:jc w:val="center"/>
        </w:trPr>
        <w:tc>
          <w:tcPr>
            <w:tcW w:w="5573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办事人员和有关人员</w:t>
            </w:r>
          </w:p>
        </w:tc>
        <w:tc>
          <w:tcPr>
            <w:tcW w:w="3141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26935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68333</w:t>
            </w:r>
          </w:p>
        </w:tc>
      </w:tr>
      <w:tr w:rsidR="00D14DCF" w:rsidTr="00F34C47">
        <w:trPr>
          <w:trHeight w:val="181"/>
          <w:jc w:val="center"/>
        </w:trPr>
        <w:tc>
          <w:tcPr>
            <w:tcW w:w="5573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社会生产服务和生活服务人员</w:t>
            </w:r>
          </w:p>
        </w:tc>
        <w:tc>
          <w:tcPr>
            <w:tcW w:w="3141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26935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53732</w:t>
            </w:r>
          </w:p>
        </w:tc>
      </w:tr>
      <w:tr w:rsidR="00D14DCF" w:rsidTr="00F34C47">
        <w:trPr>
          <w:trHeight w:val="136"/>
          <w:jc w:val="center"/>
        </w:trPr>
        <w:tc>
          <w:tcPr>
            <w:tcW w:w="5573" w:type="dxa"/>
            <w:gridSpan w:val="2"/>
            <w:tcBorders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生产制造及有关人员</w:t>
            </w:r>
          </w:p>
        </w:tc>
        <w:tc>
          <w:tcPr>
            <w:tcW w:w="3141" w:type="dxa"/>
            <w:tcBorders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26935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71613</w:t>
            </w:r>
          </w:p>
        </w:tc>
      </w:tr>
    </w:tbl>
    <w:p w:rsidR="00D14DCF" w:rsidRDefault="00526935" w:rsidP="00526935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  <w:r w:rsidRPr="00526935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中层及以上管理人员平均工资最高，是全部就业人员平均水平的1.87倍；社会生产服务和生活服务人员平均工资最低，是全部就业人员平均水平的69.8%。岗位平均工资最高与最低之比为2.68：1。</w:t>
      </w:r>
    </w:p>
    <w:p w:rsidR="00F51B14" w:rsidRDefault="00F51B14" w:rsidP="0036741A">
      <w:pPr>
        <w:widowControl/>
        <w:spacing w:line="375" w:lineRule="atLeast"/>
        <w:ind w:firstLineChars="200" w:firstLine="527"/>
        <w:jc w:val="left"/>
        <w:rPr>
          <w:rFonts w:ascii="方正楷体简体" w:eastAsia="方正楷体简体" w:hAnsi="楷体" w:cs="楷体"/>
          <w:b/>
          <w:bCs/>
          <w:color w:val="333333"/>
          <w:kern w:val="0"/>
          <w:sz w:val="28"/>
          <w:szCs w:val="28"/>
          <w:lang w:bidi="ar"/>
        </w:rPr>
      </w:pPr>
    </w:p>
    <w:p w:rsidR="0036741A" w:rsidRPr="0036741A" w:rsidRDefault="0036741A" w:rsidP="0036741A">
      <w:pPr>
        <w:widowControl/>
        <w:spacing w:line="375" w:lineRule="atLeast"/>
        <w:ind w:firstLineChars="200" w:firstLine="527"/>
        <w:jc w:val="left"/>
        <w:rPr>
          <w:rFonts w:ascii="方正楷体简体" w:eastAsia="方正楷体简体" w:hAnsi="楷体" w:cs="楷体"/>
          <w:color w:val="333333"/>
          <w:kern w:val="0"/>
          <w:sz w:val="28"/>
          <w:szCs w:val="28"/>
          <w:lang w:bidi="ar"/>
        </w:rPr>
      </w:pPr>
      <w:r w:rsidRPr="0036741A">
        <w:rPr>
          <w:rFonts w:ascii="方正楷体简体" w:eastAsia="方正楷体简体" w:hAnsi="楷体" w:cs="楷体" w:hint="eastAsia"/>
          <w:b/>
          <w:bCs/>
          <w:color w:val="333333"/>
          <w:kern w:val="0"/>
          <w:sz w:val="28"/>
          <w:szCs w:val="28"/>
          <w:lang w:bidi="ar"/>
        </w:rPr>
        <w:t>注</w:t>
      </w:r>
      <w:r w:rsidRPr="0036741A">
        <w:rPr>
          <w:rFonts w:ascii="方正楷体简体" w:eastAsia="方正楷体简体" w:hAnsi="Times New Roman" w:cs="Times New Roman" w:hint="eastAsia"/>
          <w:color w:val="333333"/>
          <w:kern w:val="0"/>
          <w:sz w:val="28"/>
          <w:szCs w:val="28"/>
          <w:vertAlign w:val="superscript"/>
          <w:lang w:bidi="ar"/>
        </w:rPr>
        <w:t>[1]</w:t>
      </w:r>
      <w:r w:rsidRPr="00C37D56">
        <w:rPr>
          <w:rFonts w:ascii="方正楷体简体" w:eastAsia="方正楷体简体" w:hAnsi="楷体" w:cs="楷体" w:hint="eastAsia"/>
          <w:color w:val="333333"/>
          <w:kern w:val="0"/>
          <w:sz w:val="28"/>
          <w:szCs w:val="28"/>
          <w:lang w:bidi="ar"/>
        </w:rPr>
        <w:t>：</w:t>
      </w:r>
      <w:r w:rsidRPr="0036741A">
        <w:rPr>
          <w:rFonts w:ascii="方正楷体简体" w:eastAsia="方正楷体简体" w:hAnsi="楷体" w:cs="楷体" w:hint="eastAsia"/>
          <w:color w:val="333333"/>
          <w:kern w:val="0"/>
          <w:sz w:val="28"/>
          <w:szCs w:val="28"/>
          <w:lang w:bidi="ar"/>
        </w:rPr>
        <w:t>文中以下增长，除特别指出外，均为名义增长。</w:t>
      </w:r>
    </w:p>
    <w:p w:rsidR="00D14DCF" w:rsidRPr="00C37D56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7"/>
        <w:jc w:val="both"/>
        <w:rPr>
          <w:rFonts w:ascii="方正楷体简体" w:eastAsia="方正楷体简体" w:hAnsi="微软雅黑" w:cs="微软雅黑"/>
          <w:b/>
          <w:sz w:val="28"/>
          <w:szCs w:val="28"/>
        </w:rPr>
      </w:pPr>
      <w:r w:rsidRPr="00C37D56">
        <w:rPr>
          <w:rFonts w:ascii="方正楷体简体" w:eastAsia="方正楷体简体" w:hAnsi="楷体" w:cs="楷体" w:hint="eastAsia"/>
          <w:b/>
          <w:color w:val="000000"/>
          <w:sz w:val="28"/>
          <w:szCs w:val="28"/>
          <w:shd w:val="clear" w:color="auto" w:fill="FFFFFF"/>
        </w:rPr>
        <w:t>附注</w:t>
      </w:r>
      <w:r w:rsidRPr="00C37D56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：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一、就业人员平均工资统计方法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34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2021年，按照国家统计局制定的《劳动工资统计报表制度》，一套表法人单位采用全面调查方法，非一套表法人单位采用抽样调查方法。调查对象是法人单位，包括统计上认定的视同法人单位的产业活动单位，由国家、省、市、县各级统计局组织实施。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lastRenderedPageBreak/>
        <w:t>单位就业人员是指在各类法人单位工作，并由单位支付劳动报酬的人员，包括在岗职工和其他就业人员。就业人员平均工资是国家统计局在保证19个行业代表性基础上，采取全面调查与抽样调查相结合的方法，推算全市分行业城镇非私营、城镇私营单位就业人员平均工资。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不同岗位平均工资，是在一套表联网直报单位范围内，具体包括规模以上工业、有资质的建筑业、限额以上批发和零售业、限额以上住宿和餐饮业、全部房地产开发经营业、规模以上服务业共16个行业门类的5001</w:t>
      </w: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ab/>
        <w:t>家法人单位，对788194名就业人员不同岗位的工资情况进行了全面调查。调查单位的就业人员按岗位分为中层及以上管理人员、专业技术人员、办事人员和有关人员、社会生产服务和生活服务人员、生产制造及有关人员5类。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二、工资总额构成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工资总额是指本单位在报告期内（季度或年度）直接支付给本单位就业人员的劳动报酬总额。包括计时工资、计件工资、奖金、津贴和补贴、加班加点工资、特殊情况下支付的工资。工资总额是税前工资，包括单位从个人工资中直接为其代扣或代缴的个人所得税、社会保险金、住房公积金等个人应缴纳部分。工资总额不论是计入成本的还是不计入成本的，不论是以货币形式支付的还是以实物形式支付的，均应列入工资总额的计算范围。工资总额计算方法并不是大家一般理解的基础工资，不只是按实际发到就业人员手里现金计算的。</w:t>
      </w:r>
    </w:p>
    <w:p w:rsidR="00F51B14" w:rsidRDefault="00F51B14" w:rsidP="00F51B14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left="227" w:right="528" w:firstLine="301"/>
        <w:jc w:val="right"/>
        <w:rPr>
          <w:rFonts w:ascii="方正仿宋简体" w:eastAsia="方正仿宋简体" w:hAnsi="Times New Roman"/>
          <w:color w:val="333333"/>
          <w:sz w:val="32"/>
          <w:szCs w:val="32"/>
          <w:lang w:bidi="ar"/>
        </w:rPr>
      </w:pPr>
    </w:p>
    <w:p w:rsidR="00D14DCF" w:rsidRPr="0036741A" w:rsidRDefault="0036741A" w:rsidP="00F51B14">
      <w:pPr>
        <w:pStyle w:val="a6"/>
        <w:widowControl/>
        <w:shd w:val="clear" w:color="auto" w:fill="FFFFFF"/>
        <w:spacing w:beforeAutospacing="0" w:afterAutospacing="0" w:line="570" w:lineRule="exact"/>
        <w:ind w:left="227" w:right="528" w:firstLine="301"/>
        <w:jc w:val="right"/>
        <w:rPr>
          <w:rFonts w:ascii="方正仿宋简体" w:eastAsia="方正仿宋简体" w:hAnsi="Times New Roman"/>
          <w:color w:val="333333"/>
          <w:sz w:val="32"/>
          <w:szCs w:val="32"/>
          <w:lang w:bidi="ar"/>
        </w:rPr>
      </w:pP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唐山市</w:t>
      </w:r>
      <w:r w:rsidR="00526935"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统计局</w:t>
      </w:r>
    </w:p>
    <w:p w:rsidR="00D14DCF" w:rsidRDefault="00526935" w:rsidP="00F51B14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left="227" w:right="226" w:firstLine="301"/>
        <w:jc w:val="right"/>
        <w:rPr>
          <w:rFonts w:ascii="楷体" w:eastAsia="楷体" w:hAnsi="楷体" w:cs="楷体"/>
          <w:b/>
          <w:bCs/>
          <w:color w:val="333333"/>
          <w:lang w:bidi="ar"/>
        </w:rPr>
      </w:pP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2022年6月</w:t>
      </w:r>
      <w:r w:rsidR="00C70F9C">
        <w:rPr>
          <w:rFonts w:ascii="方正仿宋简体" w:eastAsia="方正仿宋简体" w:hAnsi="Times New Roman"/>
          <w:color w:val="333333"/>
          <w:sz w:val="32"/>
          <w:szCs w:val="32"/>
          <w:lang w:bidi="ar"/>
        </w:rPr>
        <w:t>6</w:t>
      </w: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日</w:t>
      </w:r>
    </w:p>
    <w:sectPr w:rsidR="00D14DCF" w:rsidSect="00F5314E">
      <w:footerReference w:type="default" r:id="rId11"/>
      <w:pgSz w:w="11906" w:h="16838" w:code="9"/>
      <w:pgMar w:top="2098" w:right="1474" w:bottom="1985" w:left="1588" w:header="851" w:footer="1701" w:gutter="0"/>
      <w:cols w:space="425"/>
      <w:docGrid w:type="linesAndChars"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8E" w:rsidRDefault="00C73E8E">
      <w:r>
        <w:separator/>
      </w:r>
    </w:p>
  </w:endnote>
  <w:endnote w:type="continuationSeparator" w:id="0">
    <w:p w:rsidR="00C73E8E" w:rsidRDefault="00C7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1A" w:rsidRDefault="0036741A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20740556"/>
                          </w:sdtPr>
                          <w:sdtEndPr/>
                          <w:sdtContent>
                            <w:p w:rsidR="0036741A" w:rsidRDefault="0036741A">
                              <w:pPr>
                                <w:pStyle w:val="a4"/>
                                <w:jc w:val="right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05D76" w:rsidRPr="00705D76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</w:sdtContent>
                        </w:sdt>
                        <w:p w:rsidR="0036741A" w:rsidRDefault="003674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520740556"/>
                    </w:sdtPr>
                    <w:sdtEndPr/>
                    <w:sdtContent>
                      <w:p w:rsidR="0036741A" w:rsidRDefault="0036741A">
                        <w:pPr>
                          <w:pStyle w:val="a4"/>
                          <w:jc w:val="right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705D76" w:rsidRPr="00705D76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t>－</w:t>
                        </w:r>
                      </w:p>
                    </w:sdtContent>
                  </w:sdt>
                  <w:p w:rsidR="0036741A" w:rsidRDefault="0036741A"/>
                </w:txbxContent>
              </v:textbox>
              <w10:wrap anchorx="margin"/>
            </v:shape>
          </w:pict>
        </mc:Fallback>
      </mc:AlternateContent>
    </w:r>
  </w:p>
  <w:p w:rsidR="0036741A" w:rsidRDefault="003674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8E" w:rsidRDefault="00C73E8E">
      <w:r>
        <w:separator/>
      </w:r>
    </w:p>
  </w:footnote>
  <w:footnote w:type="continuationSeparator" w:id="0">
    <w:p w:rsidR="00C73E8E" w:rsidRDefault="00C7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A20372"/>
    <w:multiLevelType w:val="singleLevel"/>
    <w:tmpl w:val="C9A20372"/>
    <w:lvl w:ilvl="0">
      <w:start w:val="6"/>
      <w:numFmt w:val="decimal"/>
      <w:suff w:val="nothing"/>
      <w:lvlText w:val="%1、"/>
      <w:lvlJc w:val="left"/>
      <w:pPr>
        <w:ind w:left="42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96"/>
  <w:drawingGridVerticalSpacing w:val="28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63CAA"/>
    <w:rsid w:val="00017288"/>
    <w:rsid w:val="000271DE"/>
    <w:rsid w:val="00043D98"/>
    <w:rsid w:val="000D2090"/>
    <w:rsid w:val="00111E11"/>
    <w:rsid w:val="00142380"/>
    <w:rsid w:val="001516FA"/>
    <w:rsid w:val="00287205"/>
    <w:rsid w:val="002938A4"/>
    <w:rsid w:val="002E66CA"/>
    <w:rsid w:val="00315762"/>
    <w:rsid w:val="0036741A"/>
    <w:rsid w:val="00385F0D"/>
    <w:rsid w:val="003C0AA5"/>
    <w:rsid w:val="004E020A"/>
    <w:rsid w:val="00526935"/>
    <w:rsid w:val="00534129"/>
    <w:rsid w:val="005D373C"/>
    <w:rsid w:val="005D4DD8"/>
    <w:rsid w:val="005E1585"/>
    <w:rsid w:val="006B4D7F"/>
    <w:rsid w:val="00705D76"/>
    <w:rsid w:val="007175E3"/>
    <w:rsid w:val="007176CD"/>
    <w:rsid w:val="0075655F"/>
    <w:rsid w:val="007A5776"/>
    <w:rsid w:val="007D710F"/>
    <w:rsid w:val="007E20F8"/>
    <w:rsid w:val="008C04D1"/>
    <w:rsid w:val="008C48E4"/>
    <w:rsid w:val="008C6D67"/>
    <w:rsid w:val="00953CF5"/>
    <w:rsid w:val="00967F0C"/>
    <w:rsid w:val="009A6517"/>
    <w:rsid w:val="009B68D8"/>
    <w:rsid w:val="00B41EBA"/>
    <w:rsid w:val="00B9683F"/>
    <w:rsid w:val="00BE3820"/>
    <w:rsid w:val="00C37D56"/>
    <w:rsid w:val="00C70F9C"/>
    <w:rsid w:val="00C73E8E"/>
    <w:rsid w:val="00D14DCF"/>
    <w:rsid w:val="00E31F91"/>
    <w:rsid w:val="00ED2EDF"/>
    <w:rsid w:val="00F327BA"/>
    <w:rsid w:val="00F34C47"/>
    <w:rsid w:val="00F51B14"/>
    <w:rsid w:val="00F5314E"/>
    <w:rsid w:val="00FD1BDB"/>
    <w:rsid w:val="12CC6F9C"/>
    <w:rsid w:val="1B487F78"/>
    <w:rsid w:val="33301046"/>
    <w:rsid w:val="38447A31"/>
    <w:rsid w:val="38D55D1D"/>
    <w:rsid w:val="3FC033B1"/>
    <w:rsid w:val="40ED27D1"/>
    <w:rsid w:val="45B63CAA"/>
    <w:rsid w:val="50663D33"/>
    <w:rsid w:val="74F23E30"/>
    <w:rsid w:val="7D6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AFF51B-D3F6-4866-9907-019C61D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bsharetext">
    <w:name w:val="bsharetext"/>
    <w:basedOn w:val="a0"/>
    <w:qFormat/>
  </w:style>
  <w:style w:type="character" w:customStyle="1" w:styleId="xilantitf1">
    <w:name w:val="xilan_titf1"/>
    <w:basedOn w:val="a0"/>
    <w:qFormat/>
    <w:rPr>
      <w:color w:val="333333"/>
      <w:sz w:val="21"/>
      <w:szCs w:val="21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333333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1171;&#36164;\2010-2020&#24180;&#21776;&#23665;&#24066;&#21171;&#21160;&#24037;&#36164;&#21450;&#20154;&#22343;&#21487;&#25903;&#37197;&#25910;&#20837;&#24773;&#2091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1171;&#36164;\2010-2020&#24180;&#21776;&#23665;&#24066;&#21171;&#21160;&#24037;&#36164;&#21450;&#20154;&#22343;&#21487;&#25903;&#37197;&#25910;&#20837;&#24773;&#2091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900"/>
              <a:t>年份</a:t>
            </a:r>
          </a:p>
        </c:rich>
      </c:tx>
      <c:layout>
        <c:manualLayout>
          <c:xMode val="edge"/>
          <c:yMode val="edge"/>
          <c:x val="3.1524547803617603E-2"/>
          <c:y val="0.824638844301766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3100775193798405E-2"/>
          <c:y val="8.9085072231139595E-2"/>
          <c:w val="0.83149870801033599"/>
          <c:h val="0.722993579454254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"绝对值"</c:f>
              <c:strCache>
                <c:ptCount val="1"/>
                <c:pt idx="0">
                  <c:v>绝对值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'[2010-2020年唐山市劳动工资及人均可支配收入情况.xlsx]Sheet2'!$F$2:$O$2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'[2010-2020年唐山市劳动工资及人均可支配收入情况.xlsx]Sheet2'!$F$3:$O$3</c:f>
              <c:numCache>
                <c:formatCode>General</c:formatCode>
                <c:ptCount val="10"/>
                <c:pt idx="0">
                  <c:v>45232</c:v>
                </c:pt>
                <c:pt idx="1">
                  <c:v>47123</c:v>
                </c:pt>
                <c:pt idx="2">
                  <c:v>50344</c:v>
                </c:pt>
                <c:pt idx="3">
                  <c:v>54407</c:v>
                </c:pt>
                <c:pt idx="4">
                  <c:v>58230</c:v>
                </c:pt>
                <c:pt idx="5">
                  <c:v>64627</c:v>
                </c:pt>
                <c:pt idx="6">
                  <c:v>71894</c:v>
                </c:pt>
                <c:pt idx="7">
                  <c:v>75454</c:v>
                </c:pt>
                <c:pt idx="8">
                  <c:v>79412</c:v>
                </c:pt>
                <c:pt idx="9">
                  <c:v>85892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1589208"/>
        <c:axId val="664818984"/>
      </c:barChart>
      <c:lineChart>
        <c:grouping val="standard"/>
        <c:varyColors val="0"/>
        <c:ser>
          <c:idx val="1"/>
          <c:order val="1"/>
          <c:tx>
            <c:strRef>
              <c:f>'[2010-2020年唐山市劳动工资及人均可支配收入情况.xlsx]Sheet2'!$E$4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0"/>
                  <c:y val="5.3486150907354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3.4383954154727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5702075702075697E-2"/>
                  <c:y val="-2.2922636103151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'[2010-2020年唐山市劳动工资及人均可支配收入情况.xlsx]Sheet2'!$F$4:$O$4</c:f>
              <c:numCache>
                <c:formatCode>0.0_ </c:formatCode>
                <c:ptCount val="10"/>
                <c:pt idx="0">
                  <c:v>8.7569127194037204</c:v>
                </c:pt>
                <c:pt idx="1">
                  <c:v>4.1806685532366403</c:v>
                </c:pt>
                <c:pt idx="2">
                  <c:v>6.8353033550495601</c:v>
                </c:pt>
                <c:pt idx="3">
                  <c:v>8.0704751310980498</c:v>
                </c:pt>
                <c:pt idx="4">
                  <c:v>7.0266693623982199</c:v>
                </c:pt>
                <c:pt idx="5">
                  <c:v>10.9857461789456</c:v>
                </c:pt>
                <c:pt idx="6">
                  <c:v>11.244526281585101</c:v>
                </c:pt>
                <c:pt idx="7">
                  <c:v>4.9517344980109597</c:v>
                </c:pt>
                <c:pt idx="8">
                  <c:v>5.24558008853076</c:v>
                </c:pt>
                <c:pt idx="9">
                  <c:v>8.1599758222938608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4819376"/>
        <c:axId val="664819768"/>
      </c:lineChart>
      <c:catAx>
        <c:axId val="50158920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（元）</a:t>
                </a:r>
              </a:p>
            </c:rich>
          </c:tx>
          <c:layout>
            <c:manualLayout>
              <c:xMode val="edge"/>
              <c:yMode val="edge"/>
              <c:x val="1.5503875968992199E-2"/>
              <c:y val="1.0232744783306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4818984"/>
        <c:crosses val="autoZero"/>
        <c:auto val="1"/>
        <c:lblAlgn val="ctr"/>
        <c:lblOffset val="100"/>
        <c:noMultiLvlLbl val="0"/>
      </c:catAx>
      <c:valAx>
        <c:axId val="664818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01589208"/>
        <c:crosses val="autoZero"/>
        <c:crossBetween val="between"/>
      </c:valAx>
      <c:catAx>
        <c:axId val="664819376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</a:p>
            </c:rich>
          </c:tx>
          <c:layout>
            <c:manualLayout>
              <c:xMode val="edge"/>
              <c:yMode val="edge"/>
              <c:x val="0.91149870801033595"/>
              <c:y val="6.01926163723917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majorTickMark val="out"/>
        <c:minorTickMark val="none"/>
        <c:tickLblPos val="nextTo"/>
        <c:crossAx val="664819768"/>
        <c:crosses val="autoZero"/>
        <c:auto val="1"/>
        <c:lblAlgn val="ctr"/>
        <c:lblOffset val="100"/>
        <c:noMultiLvlLbl val="0"/>
      </c:catAx>
      <c:valAx>
        <c:axId val="664819768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4819376"/>
        <c:crosses val="max"/>
        <c:crossBetween val="between"/>
      </c:valAx>
      <c:spPr>
        <a:noFill/>
        <a:ln w="3175"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35968792362493157"/>
          <c:y val="0.89042618956298081"/>
          <c:w val="0.28837209302325584"/>
          <c:h val="6.74465152287618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900"/>
              <a:t>年份</a:t>
            </a:r>
          </a:p>
        </c:rich>
      </c:tx>
      <c:layout>
        <c:manualLayout>
          <c:xMode val="edge"/>
          <c:yMode val="edge"/>
          <c:x val="2.1388888888888902E-2"/>
          <c:y val="0.7933025404157040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00083333333333"/>
          <c:y val="0.106235565819861"/>
          <c:w val="0.81886111111111104"/>
          <c:h val="0.672147806004618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"绝对值"</c:f>
              <c:strCache>
                <c:ptCount val="1"/>
                <c:pt idx="0">
                  <c:v>绝对值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'[2010-2020年唐山市劳动工资及人均可支配收入情况.xlsx]Sheet3'!$F$2:$O$2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'[2010-2020年唐山市劳动工资及人均可支配收入情况.xlsx]Sheet3'!$F$3:$O$3</c:f>
              <c:numCache>
                <c:formatCode>General</c:formatCode>
                <c:ptCount val="10"/>
                <c:pt idx="0">
                  <c:v>28751</c:v>
                </c:pt>
                <c:pt idx="1">
                  <c:v>31449</c:v>
                </c:pt>
                <c:pt idx="2">
                  <c:v>34475</c:v>
                </c:pt>
                <c:pt idx="3">
                  <c:v>38140</c:v>
                </c:pt>
                <c:pt idx="4">
                  <c:v>40034</c:v>
                </c:pt>
                <c:pt idx="5">
                  <c:v>41234</c:v>
                </c:pt>
                <c:pt idx="6">
                  <c:v>41716</c:v>
                </c:pt>
                <c:pt idx="7">
                  <c:v>47074</c:v>
                </c:pt>
                <c:pt idx="8">
                  <c:v>48654</c:v>
                </c:pt>
                <c:pt idx="9">
                  <c:v>51669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4820552"/>
        <c:axId val="664820944"/>
      </c:barChart>
      <c:lineChart>
        <c:grouping val="standard"/>
        <c:varyColors val="0"/>
        <c:ser>
          <c:idx val="1"/>
          <c:order val="1"/>
          <c:tx>
            <c:strRef>
              <c:f>"增速"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751849018107626E-2"/>
                  <c:y val="-7.0848093352781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2014792144861E-2"/>
                  <c:y val="-8.7518232965201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1410354501402706E-2"/>
                  <c:y val="-3.7507814127943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'[2010-2020年唐山市劳动工资及人均可支配收入情况.xlsx]Sheet3'!$F$2:$O$2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'[2010-2020年唐山市劳动工资及人均可支配收入情况.xlsx]Sheet3'!$F$4:$O$4</c:f>
              <c:numCache>
                <c:formatCode>0.0_ </c:formatCode>
                <c:ptCount val="10"/>
                <c:pt idx="0">
                  <c:v>16.231403622251001</c:v>
                </c:pt>
                <c:pt idx="1">
                  <c:v>9.3840214253417393</c:v>
                </c:pt>
                <c:pt idx="2">
                  <c:v>9.6219275652643894</c:v>
                </c:pt>
                <c:pt idx="3">
                  <c:v>10.6308919506889</c:v>
                </c:pt>
                <c:pt idx="4">
                  <c:v>4.9659150498164699</c:v>
                </c:pt>
                <c:pt idx="5">
                  <c:v>2.9974521656591802</c:v>
                </c:pt>
                <c:pt idx="6">
                  <c:v>1.1689382548382401</c:v>
                </c:pt>
                <c:pt idx="7">
                  <c:v>12.8439927126282</c:v>
                </c:pt>
                <c:pt idx="8">
                  <c:v>3.3564175553384001</c:v>
                </c:pt>
                <c:pt idx="9">
                  <c:v>6.1968183499815002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64821336"/>
        <c:axId val="664821728"/>
      </c:lineChart>
      <c:catAx>
        <c:axId val="66482055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（</a:t>
                </a:r>
                <a:r>
                  <a:rPr lang="en-US" altLang="zh-CN"/>
                  <a:t>%</a:t>
                </a:r>
                <a:r>
                  <a:rPr lang="zh-CN" altLang="en-US"/>
                  <a:t>）</a:t>
                </a:r>
              </a:p>
            </c:rich>
          </c:tx>
          <c:layout>
            <c:manualLayout>
              <c:xMode val="edge"/>
              <c:yMode val="edge"/>
              <c:x val="0.90069444444444402"/>
              <c:y val="1.1085450346420301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4820944"/>
        <c:crosses val="autoZero"/>
        <c:auto val="1"/>
        <c:lblAlgn val="ctr"/>
        <c:lblOffset val="100"/>
        <c:noMultiLvlLbl val="0"/>
      </c:catAx>
      <c:valAx>
        <c:axId val="66482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4820552"/>
        <c:crosses val="autoZero"/>
        <c:crossBetween val="between"/>
      </c:valAx>
      <c:catAx>
        <c:axId val="664821336"/>
        <c:scaling>
          <c:orientation val="minMax"/>
        </c:scaling>
        <c:delete val="1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（元）</a:t>
                </a:r>
              </a:p>
            </c:rich>
          </c:tx>
          <c:layout>
            <c:manualLayout>
              <c:xMode val="edge"/>
              <c:yMode val="edge"/>
              <c:x val="1.42361111111111E-2"/>
              <c:y val="1.75519630484987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0" vertOverflow="ellipsis" vert="horz" wrap="square" anchor="ctr" anchorCtr="1"/>
            <a:lstStyle/>
            <a:p>
              <a:pPr defTabSz="914400">
                <a:defRPr lang="zh-CN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out"/>
        <c:minorTickMark val="none"/>
        <c:tickLblPos val="nextTo"/>
        <c:crossAx val="664821728"/>
        <c:crosses val="autoZero"/>
        <c:auto val="1"/>
        <c:lblAlgn val="ctr"/>
        <c:lblOffset val="100"/>
        <c:noMultiLvlLbl val="0"/>
      </c:catAx>
      <c:valAx>
        <c:axId val="664821728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64821336"/>
        <c:crosses val="max"/>
        <c:crossBetween val="between"/>
      </c:valAx>
      <c:spPr>
        <a:noFill/>
        <a:ln w="12700" cmpd="sng">
          <a:solidFill>
            <a:schemeClr val="tx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8F4E7-C2FB-4034-8E87-BE5CE2B9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597</Words>
  <Characters>3407</Characters>
  <Application>Microsoft Office Word</Application>
  <DocSecurity>0</DocSecurity>
  <Lines>28</Lines>
  <Paragraphs>7</Paragraphs>
  <ScaleCrop>false</ScaleCrop>
  <Company>国家统计局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WPS_1642687964</dc:creator>
  <cp:lastModifiedBy>zhangxingyan</cp:lastModifiedBy>
  <cp:revision>25</cp:revision>
  <cp:lastPrinted>2022-06-06T01:47:00Z</cp:lastPrinted>
  <dcterms:created xsi:type="dcterms:W3CDTF">2022-06-02T07:18:00Z</dcterms:created>
  <dcterms:modified xsi:type="dcterms:W3CDTF">2022-06-06T02:35:00Z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E2CAE02063A04F458668569E2C9C5383</vt:lpwstr>
  </property>
  <property fmtid="{D5CDD505-2E9C-101B-9397-08002B2CF9AE}" pid="4" name="_DocHome">
    <vt:i4>-2015862049</vt:i4>
  </property>
</Properties>
</file>