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宋体" w:eastAsia="方正小标宋简体" w:cs="宋体"/>
          <w:color w:val="000000"/>
          <w:kern w:val="0"/>
          <w:sz w:val="44"/>
          <w:szCs w:val="44"/>
          <w:lang w:eastAsia="zh-CN"/>
        </w:rPr>
      </w:pPr>
      <w:r>
        <w:rPr>
          <w:rFonts w:hint="eastAsia" w:ascii="方正小标宋简体" w:hAnsi="宋体" w:eastAsia="方正小标宋简体" w:cs="宋体"/>
          <w:color w:val="000000"/>
          <w:kern w:val="0"/>
          <w:sz w:val="44"/>
          <w:szCs w:val="44"/>
          <w:lang w:eastAsia="zh-CN"/>
        </w:rPr>
        <w:t>政务公开事项</w:t>
      </w:r>
      <w:r>
        <w:rPr>
          <w:rFonts w:hint="eastAsia" w:ascii="方正小标宋简体" w:hAnsi="宋体" w:eastAsia="方正小标宋简体" w:cs="宋体"/>
          <w:color w:val="000000"/>
          <w:kern w:val="0"/>
          <w:sz w:val="44"/>
          <w:szCs w:val="44"/>
          <w:lang w:val="en-US" w:eastAsia="zh-CN"/>
        </w:rPr>
        <w:t>目录</w:t>
      </w:r>
    </w:p>
    <w:p>
      <w:pPr>
        <w:widowControl/>
        <w:spacing w:after="62" w:afterLines="2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单位：</w:t>
      </w:r>
      <w:r>
        <w:rPr>
          <w:rFonts w:hint="eastAsia" w:ascii="宋体" w:hAnsi="宋体" w:eastAsia="宋体" w:cs="宋体"/>
          <w:color w:val="000000"/>
          <w:kern w:val="0"/>
          <w:sz w:val="22"/>
          <w:lang w:val="en-US" w:eastAsia="zh-CN"/>
        </w:rPr>
        <w:t>唐山市</w:t>
      </w:r>
      <w:r>
        <w:rPr>
          <w:rFonts w:hint="eastAsia" w:ascii="宋体" w:hAnsi="宋体" w:eastAsia="宋体" w:cs="宋体"/>
          <w:color w:val="000000"/>
          <w:kern w:val="0"/>
          <w:sz w:val="22"/>
        </w:rPr>
        <w:t>应急管理</w:t>
      </w:r>
      <w:r>
        <w:rPr>
          <w:rFonts w:hint="eastAsia" w:ascii="宋体" w:hAnsi="宋体" w:eastAsia="宋体" w:cs="宋体"/>
          <w:color w:val="000000"/>
          <w:kern w:val="0"/>
          <w:sz w:val="22"/>
          <w:lang w:val="en-US" w:eastAsia="zh-CN"/>
        </w:rPr>
        <w:t>局</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
      <w:tblGrid>
        <w:gridCol w:w="427"/>
        <w:gridCol w:w="716"/>
        <w:gridCol w:w="3882"/>
        <w:gridCol w:w="1723"/>
        <w:gridCol w:w="1920"/>
        <w:gridCol w:w="1698"/>
        <w:gridCol w:w="1442"/>
        <w:gridCol w:w="574"/>
        <w:gridCol w:w="577"/>
        <w:gridCol w:w="577"/>
        <w:gridCol w:w="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73" w:hRule="atLeast"/>
          <w:tblHeader/>
        </w:trPr>
        <w:tc>
          <w:tcPr>
            <w:tcW w:w="150" w:type="pct"/>
            <w:vMerge w:val="restar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1616" w:type="pct"/>
            <w:gridSpan w:val="2"/>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公开事项</w:t>
            </w:r>
          </w:p>
        </w:tc>
        <w:tc>
          <w:tcPr>
            <w:tcW w:w="605" w:type="pct"/>
            <w:vMerge w:val="restar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公开内容</w:t>
            </w:r>
          </w:p>
        </w:tc>
        <w:tc>
          <w:tcPr>
            <w:tcW w:w="675" w:type="pct"/>
            <w:vMerge w:val="restar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公开依据</w:t>
            </w:r>
          </w:p>
        </w:tc>
        <w:tc>
          <w:tcPr>
            <w:tcW w:w="597" w:type="pct"/>
            <w:vMerge w:val="restar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公开时限</w:t>
            </w:r>
          </w:p>
        </w:tc>
        <w:tc>
          <w:tcPr>
            <w:tcW w:w="507" w:type="pct"/>
            <w:vMerge w:val="restar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公开渠道和载体</w:t>
            </w:r>
          </w:p>
        </w:tc>
        <w:tc>
          <w:tcPr>
            <w:tcW w:w="404" w:type="pct"/>
            <w:gridSpan w:val="2"/>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公开对象</w:t>
            </w:r>
          </w:p>
        </w:tc>
        <w:tc>
          <w:tcPr>
            <w:tcW w:w="443" w:type="pct"/>
            <w:gridSpan w:val="2"/>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463" w:hRule="atLeast"/>
          <w:tblHeader/>
        </w:trPr>
        <w:tc>
          <w:tcPr>
            <w:tcW w:w="150" w:type="pct"/>
            <w:vMerge w:val="continue"/>
            <w:vAlign w:val="center"/>
          </w:tcPr>
          <w:p>
            <w:pPr>
              <w:widowControl/>
              <w:spacing w:line="260" w:lineRule="exact"/>
              <w:jc w:val="center"/>
              <w:rPr>
                <w:rFonts w:ascii="黑体" w:hAnsi="黑体" w:eastAsia="黑体" w:cs="宋体"/>
                <w:color w:val="000000"/>
                <w:kern w:val="0"/>
                <w:sz w:val="20"/>
                <w:szCs w:val="20"/>
              </w:rPr>
            </w:pPr>
          </w:p>
        </w:tc>
        <w:tc>
          <w:tcPr>
            <w:tcW w:w="251" w:type="pc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一级事项</w:t>
            </w:r>
          </w:p>
        </w:tc>
        <w:tc>
          <w:tcPr>
            <w:tcW w:w="1365" w:type="pc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二级事项</w:t>
            </w:r>
          </w:p>
        </w:tc>
        <w:tc>
          <w:tcPr>
            <w:tcW w:w="605" w:type="pct"/>
            <w:vMerge w:val="continue"/>
            <w:vAlign w:val="center"/>
          </w:tcPr>
          <w:p>
            <w:pPr>
              <w:widowControl/>
              <w:spacing w:line="260" w:lineRule="exact"/>
              <w:rPr>
                <w:rFonts w:ascii="黑体" w:hAnsi="黑体" w:eastAsia="黑体" w:cs="宋体"/>
                <w:color w:val="000000"/>
                <w:kern w:val="0"/>
                <w:sz w:val="20"/>
                <w:szCs w:val="20"/>
              </w:rPr>
            </w:pPr>
          </w:p>
        </w:tc>
        <w:tc>
          <w:tcPr>
            <w:tcW w:w="675" w:type="pct"/>
            <w:vMerge w:val="continue"/>
            <w:vAlign w:val="center"/>
          </w:tcPr>
          <w:p>
            <w:pPr>
              <w:widowControl/>
              <w:spacing w:line="260" w:lineRule="exact"/>
              <w:rPr>
                <w:rFonts w:ascii="黑体" w:hAnsi="黑体" w:eastAsia="黑体" w:cs="宋体"/>
                <w:color w:val="000000"/>
                <w:kern w:val="0"/>
                <w:sz w:val="20"/>
                <w:szCs w:val="20"/>
              </w:rPr>
            </w:pPr>
          </w:p>
        </w:tc>
        <w:tc>
          <w:tcPr>
            <w:tcW w:w="597" w:type="pct"/>
            <w:vMerge w:val="continue"/>
            <w:vAlign w:val="center"/>
          </w:tcPr>
          <w:p>
            <w:pPr>
              <w:widowControl/>
              <w:spacing w:line="260" w:lineRule="exact"/>
              <w:rPr>
                <w:rFonts w:ascii="黑体" w:hAnsi="黑体" w:eastAsia="黑体" w:cs="宋体"/>
                <w:color w:val="000000"/>
                <w:kern w:val="0"/>
                <w:sz w:val="20"/>
                <w:szCs w:val="20"/>
              </w:rPr>
            </w:pPr>
          </w:p>
        </w:tc>
        <w:tc>
          <w:tcPr>
            <w:tcW w:w="507" w:type="pct"/>
            <w:vMerge w:val="continue"/>
            <w:vAlign w:val="center"/>
          </w:tcPr>
          <w:p>
            <w:pPr>
              <w:widowControl/>
              <w:spacing w:line="260" w:lineRule="exact"/>
              <w:rPr>
                <w:rFonts w:ascii="黑体" w:hAnsi="黑体" w:eastAsia="黑体" w:cs="宋体"/>
                <w:color w:val="000000"/>
                <w:kern w:val="0"/>
                <w:sz w:val="20"/>
                <w:szCs w:val="20"/>
              </w:rPr>
            </w:pPr>
          </w:p>
        </w:tc>
        <w:tc>
          <w:tcPr>
            <w:tcW w:w="201" w:type="pct"/>
            <w:vAlign w:val="center"/>
          </w:tcPr>
          <w:p>
            <w:pPr>
              <w:widowControl/>
              <w:spacing w:line="260" w:lineRule="exact"/>
              <w:ind w:left="-105" w:leftChars="-50" w:right="-105" w:rightChars="-50"/>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全社会</w:t>
            </w:r>
          </w:p>
        </w:tc>
        <w:tc>
          <w:tcPr>
            <w:tcW w:w="202" w:type="pct"/>
            <w:vAlign w:val="center"/>
          </w:tcPr>
          <w:p>
            <w:pPr>
              <w:widowControl/>
              <w:spacing w:line="260" w:lineRule="exact"/>
              <w:ind w:left="-105" w:leftChars="-50" w:right="-105" w:rightChars="-50"/>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特定</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对象</w:t>
            </w:r>
          </w:p>
        </w:tc>
        <w:tc>
          <w:tcPr>
            <w:tcW w:w="202" w:type="pct"/>
            <w:vAlign w:val="center"/>
          </w:tcPr>
          <w:p>
            <w:pPr>
              <w:widowControl/>
              <w:spacing w:line="260" w:lineRule="exact"/>
              <w:ind w:left="-105" w:leftChars="-50" w:right="-105" w:rightChars="-50"/>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主动</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公开</w:t>
            </w:r>
          </w:p>
        </w:tc>
        <w:tc>
          <w:tcPr>
            <w:tcW w:w="240" w:type="pct"/>
            <w:vAlign w:val="center"/>
          </w:tcPr>
          <w:p>
            <w:pPr>
              <w:widowControl/>
              <w:spacing w:line="260" w:lineRule="exact"/>
              <w:ind w:left="-105" w:leftChars="-50" w:right="-105" w:rightChars="-50"/>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57"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251" w:type="pct"/>
            <w:vMerge w:val="restar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机构</w:t>
            </w:r>
          </w:p>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基本信息</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1.机构名称</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2.联系方式</w:t>
            </w:r>
            <w:r>
              <w:rPr>
                <w:rFonts w:hint="eastAsia" w:cs="宋体" w:asciiTheme="minorEastAsia" w:hAnsiTheme="minorEastAsia"/>
                <w:kern w:val="0"/>
                <w:sz w:val="20"/>
                <w:szCs w:val="20"/>
              </w:rPr>
              <w:br w:type="textWrapping"/>
            </w:r>
            <w:r>
              <w:rPr>
                <w:rFonts w:cs="宋体" w:asciiTheme="minorEastAsia" w:hAnsiTheme="minorEastAsia"/>
                <w:kern w:val="0"/>
                <w:sz w:val="20"/>
                <w:szCs w:val="20"/>
              </w:rPr>
              <w:t>3.</w:t>
            </w:r>
            <w:r>
              <w:rPr>
                <w:rFonts w:hint="eastAsia" w:cs="宋体" w:asciiTheme="minorEastAsia" w:hAnsiTheme="minorEastAsia"/>
                <w:kern w:val="0"/>
                <w:sz w:val="20"/>
                <w:szCs w:val="20"/>
              </w:rPr>
              <w:t>办公地址</w:t>
            </w:r>
            <w:r>
              <w:rPr>
                <w:rFonts w:hint="eastAsia" w:cs="宋体" w:asciiTheme="minorEastAsia" w:hAnsiTheme="minorEastAsia"/>
                <w:kern w:val="0"/>
                <w:sz w:val="20"/>
                <w:szCs w:val="20"/>
              </w:rPr>
              <w:br w:type="textWrapping"/>
            </w:r>
            <w:r>
              <w:rPr>
                <w:rFonts w:cs="宋体" w:asciiTheme="minorEastAsia" w:hAnsiTheme="minorEastAsia"/>
                <w:kern w:val="0"/>
                <w:sz w:val="20"/>
                <w:szCs w:val="20"/>
              </w:rPr>
              <w:t>4.</w:t>
            </w:r>
            <w:r>
              <w:rPr>
                <w:rFonts w:hint="eastAsia" w:cs="宋体" w:asciiTheme="minorEastAsia" w:hAnsiTheme="minorEastAsia"/>
                <w:kern w:val="0"/>
                <w:sz w:val="20"/>
                <w:szCs w:val="20"/>
              </w:rPr>
              <w:t>办公时间</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《中华人民共和国政府信息公开条例》《河北省实施&lt;中华人民共和国政府信息公开条例&gt;办法》等法律法规规章和规范性文件</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162"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251" w:type="pct"/>
            <w:vMerge w:val="continue"/>
            <w:vAlign w:val="center"/>
          </w:tcPr>
          <w:p>
            <w:pPr>
              <w:widowControl/>
              <w:spacing w:line="260" w:lineRule="exact"/>
              <w:rPr>
                <w:rFonts w:cs="宋体" w:asciiTheme="minorEastAsia" w:hAnsiTheme="minorEastAsia"/>
                <w:color w:val="000000"/>
                <w:kern w:val="0"/>
                <w:sz w:val="20"/>
                <w:szCs w:val="20"/>
              </w:rPr>
            </w:pP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法定职责</w:t>
            </w:r>
          </w:p>
        </w:tc>
        <w:tc>
          <w:tcPr>
            <w:tcW w:w="60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依据“三定”规定确定的本部门法定职责</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《中华人民共和国政府信息公开条例》《河北省实施&lt;中华人民共和国政府信息公开条例&gt;办法》等法律法规规章和规范性文件</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200"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251" w:type="pct"/>
            <w:vMerge w:val="continue"/>
            <w:vAlign w:val="center"/>
          </w:tcPr>
          <w:p>
            <w:pPr>
              <w:widowControl/>
              <w:spacing w:line="260" w:lineRule="exact"/>
              <w:rPr>
                <w:rFonts w:cs="宋体" w:asciiTheme="minorEastAsia" w:hAnsiTheme="minorEastAsia"/>
                <w:color w:val="000000"/>
                <w:kern w:val="0"/>
                <w:sz w:val="20"/>
                <w:szCs w:val="20"/>
              </w:rPr>
            </w:pP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领导简历</w:t>
            </w:r>
          </w:p>
        </w:tc>
        <w:tc>
          <w:tcPr>
            <w:tcW w:w="60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1.姓名</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2.职务</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3.工作分工</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《中华人民共和国政府信息公开条例》《河北省实施&lt;中华人民共和国政府信息公开条例&gt;办法》等法律法规规章和规范性文件</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99"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251" w:type="pct"/>
            <w:vMerge w:val="continue"/>
            <w:vAlign w:val="center"/>
          </w:tcPr>
          <w:p>
            <w:pPr>
              <w:widowControl/>
              <w:spacing w:line="260" w:lineRule="exact"/>
              <w:rPr>
                <w:rFonts w:cs="宋体" w:asciiTheme="minorEastAsia" w:hAnsiTheme="minorEastAsia"/>
                <w:color w:val="000000"/>
                <w:kern w:val="0"/>
                <w:sz w:val="20"/>
                <w:szCs w:val="20"/>
              </w:rPr>
            </w:pP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内设机构</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1.机构名称</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2.负责人信息</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3.主要职责</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《中华人民共和国政府信息公开条例》《河北省实施&lt;中华人民共和国政府信息公开条例&gt;办法》等法律法规规章和规范性文件</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45"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251" w:type="pct"/>
            <w:vMerge w:val="continue"/>
            <w:vAlign w:val="center"/>
          </w:tcPr>
          <w:p>
            <w:pPr>
              <w:widowControl/>
              <w:spacing w:line="260" w:lineRule="exact"/>
              <w:rPr>
                <w:rFonts w:cs="宋体" w:asciiTheme="minorEastAsia" w:hAnsiTheme="minorEastAsia"/>
                <w:color w:val="000000"/>
                <w:kern w:val="0"/>
                <w:sz w:val="20"/>
                <w:szCs w:val="20"/>
              </w:rPr>
            </w:pP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下属单位</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1.单位名称</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2.负责人信息</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3.主要职责</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455"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信息公开</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政府信息公开专栏</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1.政策</w:t>
            </w:r>
          </w:p>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2.信息公开指南</w:t>
            </w:r>
          </w:p>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3.信息公开制度</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4.法定公开内容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5.信息公开年报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6.信息依申请公开（平台或途径）</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7.政务公开事项清单</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582"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双随机一公开</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双随机一公开</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1.抽查事项清单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2.抽查计划方案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3.抽查检查结果</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《国务院关于在市场监管领域全面推行部门联合“双随机、一公开”监管的意见》和《河北省人民政府关于在市场监管领域全面推行部门联合“双随机、一公开”监管的实施意见》等</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■国家企业信用信息公示系统（河北</w:t>
            </w:r>
            <w:r>
              <w:rPr>
                <w:rFonts w:cs="宋体" w:asciiTheme="minorEastAsia" w:hAnsiTheme="minorEastAsia"/>
                <w:color w:val="000000"/>
                <w:kern w:val="0"/>
                <w:sz w:val="20"/>
                <w:szCs w:val="20"/>
              </w:rPr>
              <w:t>）</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27"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建议提案</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建议提案办理</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1.可公开的建议提案办理复文</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2.本单位办理建议提案总体情况及重要工作进展</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《国务院办公厅关于做好全国人大代表建议和全国政协委员提案办理结果公开工作的通知》《河北省承办人大代表建议和政协提案工作规定》等</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84"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w:t>
            </w:r>
          </w:p>
        </w:tc>
        <w:tc>
          <w:tcPr>
            <w:tcW w:w="251" w:type="pct"/>
            <w:vMerge w:val="restar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政策文件</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重大决策预公开</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1.决策草案及说明</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2.社会公众普遍关心或者专业性、技术性较强的重大行政决策公众意见收集和采纳情况</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《河北省重大行政决策程序暂行办法》《中共中央办公厅国务院办公厅关于全面推进政务公开工作的意见》等</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00"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w:t>
            </w:r>
          </w:p>
        </w:tc>
        <w:tc>
          <w:tcPr>
            <w:tcW w:w="251" w:type="pct"/>
            <w:vMerge w:val="continue"/>
            <w:shd w:val="clear" w:color="auto" w:fill="auto"/>
            <w:vAlign w:val="center"/>
          </w:tcPr>
          <w:p>
            <w:pPr>
              <w:widowControl/>
              <w:spacing w:line="260" w:lineRule="exact"/>
              <w:jc w:val="center"/>
              <w:rPr>
                <w:rFonts w:cs="宋体" w:asciiTheme="minorEastAsia" w:hAnsiTheme="minorEastAsia"/>
                <w:color w:val="000000"/>
                <w:kern w:val="0"/>
                <w:sz w:val="20"/>
                <w:szCs w:val="20"/>
              </w:rPr>
            </w:pP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法律法规</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履行本部门职能职责涉及的主要法律法规</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《国务院办公厅印发&lt;关于全面推进政务公开工作的意见&gt;实施细则的通知》《河北省人民政府办公厅关于印发河北省全面推进政务公开工作实施细则的通知》</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■政府网站</w:t>
            </w:r>
          </w:p>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■政策直通车平台</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8"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w:t>
            </w:r>
          </w:p>
        </w:tc>
        <w:tc>
          <w:tcPr>
            <w:tcW w:w="251" w:type="pct"/>
            <w:vMerge w:val="continue"/>
            <w:shd w:val="clear" w:color="auto" w:fill="auto"/>
            <w:vAlign w:val="center"/>
          </w:tcPr>
          <w:p>
            <w:pPr>
              <w:widowControl/>
              <w:spacing w:line="260" w:lineRule="exact"/>
              <w:jc w:val="center"/>
              <w:rPr>
                <w:rFonts w:cs="宋体" w:asciiTheme="minorEastAsia" w:hAnsiTheme="minorEastAsia"/>
                <w:color w:val="000000"/>
                <w:kern w:val="0"/>
                <w:sz w:val="20"/>
                <w:szCs w:val="20"/>
              </w:rPr>
            </w:pP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行政规章</w:t>
            </w:r>
          </w:p>
        </w:tc>
        <w:tc>
          <w:tcPr>
            <w:tcW w:w="60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履行本部门职能职责涉及的主要行政规章</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《国务院办公厅印发&lt;关于全面推进政务公开工作的意见&gt;实施细则的通知》《河北省人民政府办公厅关于印发河北省全面推进政务公开工作实施细则的通知》等</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■政府网站</w:t>
            </w:r>
          </w:p>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■政策直通车平台</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12</w:t>
            </w:r>
          </w:p>
        </w:tc>
        <w:tc>
          <w:tcPr>
            <w:tcW w:w="251" w:type="pct"/>
            <w:vMerge w:val="restar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政策文件</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行业部门文件</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以省委、省政府，国家或省行业主管部门名义印发的规范性文件或其他政策文件</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国务院办公厅印发&lt;关于全面推进政务公开工作的意见&gt;实施细则的通知》《河北省人民政府办公厅关于印发河北省全面推进政务公开工作实施细则的通知》《中共河北省委办公厅河北省人民政府办公厅关于加强和规范党委政府及部门文件通过新闻媒体公开发布工作的指导意见》等</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■政府网站</w:t>
            </w:r>
          </w:p>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■政策直通车平台</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13"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w:t>
            </w:r>
          </w:p>
        </w:tc>
        <w:tc>
          <w:tcPr>
            <w:tcW w:w="251" w:type="pct"/>
            <w:vMerge w:val="continue"/>
            <w:shd w:val="clear" w:color="auto" w:fill="auto"/>
            <w:vAlign w:val="center"/>
          </w:tcPr>
          <w:p>
            <w:pPr>
              <w:widowControl/>
              <w:spacing w:line="260" w:lineRule="exact"/>
              <w:jc w:val="center"/>
              <w:rPr>
                <w:rFonts w:cs="宋体" w:asciiTheme="minorEastAsia" w:hAnsiTheme="minorEastAsia"/>
                <w:color w:val="000000"/>
                <w:kern w:val="0"/>
                <w:sz w:val="20"/>
                <w:szCs w:val="20"/>
              </w:rPr>
            </w:pP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政策解读</w:t>
            </w:r>
          </w:p>
        </w:tc>
        <w:tc>
          <w:tcPr>
            <w:tcW w:w="60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对上级或本部门印发的有关应急管理工作的规范性文件的解读材料等信息</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《国务院办公厅印发&lt;关于全面推进政务公开工作的意见&gt;实施细则的通知》《河北省人民政府办公厅关于印发河北省全面推进政务公开工作实施细则的通知》等</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■政务新媒体</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■政策直通车平台</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90"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14</w:t>
            </w:r>
          </w:p>
        </w:tc>
        <w:tc>
          <w:tcPr>
            <w:tcW w:w="251" w:type="pct"/>
            <w:vMerge w:val="continue"/>
            <w:shd w:val="clear" w:color="auto" w:fill="auto"/>
            <w:vAlign w:val="center"/>
          </w:tcPr>
          <w:p>
            <w:pPr>
              <w:widowControl/>
              <w:spacing w:line="260" w:lineRule="exact"/>
              <w:jc w:val="center"/>
              <w:rPr>
                <w:rFonts w:cs="宋体" w:asciiTheme="minorEastAsia" w:hAnsiTheme="minorEastAsia"/>
                <w:color w:val="000000"/>
                <w:kern w:val="0"/>
                <w:sz w:val="20"/>
                <w:szCs w:val="20"/>
              </w:rPr>
            </w:pP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规范性文件清理信息</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1.规范性文件定期清理情况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2.已修改、废止、失效的规范性文件目录</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14"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15</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w:t>
            </w:r>
            <w:r>
              <w:rPr>
                <w:rFonts w:cs="宋体" w:asciiTheme="minorEastAsia" w:hAnsiTheme="minorEastAsia"/>
                <w:color w:val="000000"/>
                <w:kern w:val="0"/>
                <w:sz w:val="20"/>
                <w:szCs w:val="20"/>
              </w:rPr>
              <w:t>民互动</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咨询、投诉、举报、建议</w:t>
            </w:r>
          </w:p>
        </w:tc>
        <w:tc>
          <w:tcPr>
            <w:tcW w:w="60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1.投诉举报电话</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2.网民留言</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3.回复选登</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■政务新媒体</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57"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16</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新闻发布</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新闻发布会</w:t>
            </w:r>
          </w:p>
        </w:tc>
        <w:tc>
          <w:tcPr>
            <w:tcW w:w="60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1.国家相关部委、省委、省政府召开的涉及应急管理的新闻发布会</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2.本单位召开的各类新闻发布会、新闻通气会和新闻吹风会</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及时公开</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■政务新媒体</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06"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17</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重点领域信息</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权责清单</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经相关部门核定的权力和责任清单</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w:t>
            </w:r>
          </w:p>
        </w:tc>
        <w:tc>
          <w:tcPr>
            <w:tcW w:w="597"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634"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18</w:t>
            </w:r>
          </w:p>
        </w:tc>
        <w:tc>
          <w:tcPr>
            <w:tcW w:w="251" w:type="pct"/>
            <w:vMerge w:val="restar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重点领域信息</w:t>
            </w:r>
          </w:p>
        </w:tc>
        <w:tc>
          <w:tcPr>
            <w:tcW w:w="1365" w:type="pct"/>
            <w:shd w:val="clear" w:color="auto" w:fill="auto"/>
            <w:vAlign w:val="center"/>
          </w:tcPr>
          <w:p>
            <w:pPr>
              <w:widowControl/>
              <w:spacing w:line="260" w:lineRule="exac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规划计划</w:t>
            </w:r>
          </w:p>
        </w:tc>
        <w:tc>
          <w:tcPr>
            <w:tcW w:w="605" w:type="pct"/>
            <w:shd w:val="clear" w:color="auto" w:fill="auto"/>
            <w:vAlign w:val="center"/>
          </w:tcPr>
          <w:p>
            <w:pPr>
              <w:widowControl/>
              <w:spacing w:line="260" w:lineRule="exac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1.</w:t>
            </w:r>
            <w:r>
              <w:rPr>
                <w:rFonts w:hint="eastAsia" w:cs="宋体" w:asciiTheme="minorEastAsia" w:hAnsiTheme="minorEastAsia"/>
                <w:color w:val="auto"/>
                <w:kern w:val="0"/>
                <w:sz w:val="20"/>
                <w:szCs w:val="20"/>
                <w:lang w:eastAsia="zh-CN"/>
              </w:rPr>
              <w:t>唐山市</w:t>
            </w:r>
            <w:r>
              <w:rPr>
                <w:rFonts w:hint="eastAsia" w:cs="宋体" w:asciiTheme="minorEastAsia" w:hAnsiTheme="minorEastAsia"/>
                <w:color w:val="auto"/>
                <w:kern w:val="0"/>
                <w:sz w:val="20"/>
                <w:szCs w:val="20"/>
              </w:rPr>
              <w:t>应急管理工作规划</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2.</w:t>
            </w:r>
            <w:r>
              <w:rPr>
                <w:rFonts w:hint="eastAsia" w:cs="宋体" w:asciiTheme="minorEastAsia" w:hAnsiTheme="minorEastAsia"/>
                <w:color w:val="auto"/>
                <w:kern w:val="0"/>
                <w:sz w:val="20"/>
                <w:szCs w:val="20"/>
                <w:lang w:eastAsia="zh-CN"/>
              </w:rPr>
              <w:t>唐山市</w:t>
            </w:r>
            <w:r>
              <w:rPr>
                <w:rFonts w:hint="eastAsia" w:cs="宋体" w:asciiTheme="minorEastAsia" w:hAnsiTheme="minorEastAsia"/>
                <w:color w:val="auto"/>
                <w:kern w:val="0"/>
                <w:sz w:val="20"/>
                <w:szCs w:val="20"/>
              </w:rPr>
              <w:t>年度应急管理工作要点</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3.</w:t>
            </w:r>
            <w:r>
              <w:rPr>
                <w:rFonts w:hint="eastAsia" w:cs="宋体" w:asciiTheme="minorEastAsia" w:hAnsiTheme="minorEastAsia"/>
                <w:color w:val="auto"/>
                <w:kern w:val="0"/>
                <w:sz w:val="20"/>
                <w:szCs w:val="20"/>
                <w:lang w:eastAsia="zh-CN"/>
              </w:rPr>
              <w:t>唐山市</w:t>
            </w:r>
            <w:r>
              <w:rPr>
                <w:rFonts w:hint="eastAsia" w:cs="宋体" w:asciiTheme="minorEastAsia" w:hAnsiTheme="minorEastAsia"/>
                <w:color w:val="auto"/>
                <w:kern w:val="0"/>
                <w:sz w:val="20"/>
                <w:szCs w:val="20"/>
              </w:rPr>
              <w:t>应急管理厅安全生产执法监察计划</w:t>
            </w:r>
          </w:p>
        </w:tc>
        <w:tc>
          <w:tcPr>
            <w:tcW w:w="675" w:type="pct"/>
            <w:shd w:val="clear" w:color="auto" w:fill="auto"/>
            <w:vAlign w:val="center"/>
          </w:tcPr>
          <w:p>
            <w:pPr>
              <w:widowControl/>
              <w:spacing w:line="260" w:lineRule="exac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《中华人民共和国政府信息公开条例》《河北省实施&lt;中华人民共和国政府信息公开条例&gt;办法》等</w:t>
            </w:r>
          </w:p>
        </w:tc>
        <w:tc>
          <w:tcPr>
            <w:tcW w:w="597" w:type="pct"/>
            <w:shd w:val="clear" w:color="auto" w:fill="auto"/>
            <w:vAlign w:val="center"/>
          </w:tcPr>
          <w:p>
            <w:pPr>
              <w:widowControl/>
              <w:spacing w:line="260" w:lineRule="exac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■政府网站</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■政务新媒体</w:t>
            </w:r>
          </w:p>
        </w:tc>
        <w:tc>
          <w:tcPr>
            <w:tcW w:w="201" w:type="pct"/>
            <w:shd w:val="clear" w:color="auto" w:fill="auto"/>
            <w:noWrap/>
            <w:vAlign w:val="center"/>
          </w:tcPr>
          <w:p>
            <w:pPr>
              <w:widowControl/>
              <w:spacing w:line="260" w:lineRule="exact"/>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auto"/>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37"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19</w:t>
            </w:r>
          </w:p>
        </w:tc>
        <w:tc>
          <w:tcPr>
            <w:tcW w:w="251" w:type="pct"/>
            <w:vMerge w:val="continue"/>
            <w:shd w:val="clear" w:color="auto" w:fill="auto"/>
            <w:vAlign w:val="center"/>
          </w:tcPr>
          <w:p>
            <w:pPr>
              <w:widowControl/>
              <w:spacing w:line="260" w:lineRule="exact"/>
              <w:jc w:val="center"/>
              <w:rPr>
                <w:rFonts w:cs="宋体" w:asciiTheme="minorEastAsia" w:hAnsiTheme="minorEastAsia"/>
                <w:color w:val="000000"/>
                <w:kern w:val="0"/>
                <w:sz w:val="20"/>
                <w:szCs w:val="20"/>
              </w:rPr>
            </w:pPr>
          </w:p>
        </w:tc>
        <w:tc>
          <w:tcPr>
            <w:tcW w:w="1365" w:type="pct"/>
            <w:shd w:val="clear" w:color="auto" w:fill="auto"/>
            <w:vAlign w:val="center"/>
          </w:tcPr>
          <w:p>
            <w:pPr>
              <w:widowControl/>
              <w:spacing w:line="260" w:lineRule="exac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财政资金</w:t>
            </w:r>
          </w:p>
        </w:tc>
        <w:tc>
          <w:tcPr>
            <w:tcW w:w="605" w:type="pct"/>
            <w:shd w:val="clear" w:color="auto" w:fill="auto"/>
            <w:vAlign w:val="center"/>
          </w:tcPr>
          <w:p>
            <w:pPr>
              <w:widowControl/>
              <w:spacing w:line="260" w:lineRule="exac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财政预决算报告</w:t>
            </w:r>
          </w:p>
        </w:tc>
        <w:tc>
          <w:tcPr>
            <w:tcW w:w="675" w:type="pct"/>
            <w:shd w:val="clear" w:color="auto" w:fill="auto"/>
            <w:vAlign w:val="center"/>
          </w:tcPr>
          <w:p>
            <w:pPr>
              <w:widowControl/>
              <w:spacing w:line="260" w:lineRule="exac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《中华人民共和国预算法》《中华人民共和国政府信息公开条例》《河北省实施&lt;中华人民共和国政府信息公开条例&gt;办法》等</w:t>
            </w:r>
          </w:p>
        </w:tc>
        <w:tc>
          <w:tcPr>
            <w:tcW w:w="597" w:type="pct"/>
            <w:shd w:val="clear" w:color="auto" w:fill="auto"/>
            <w:vAlign w:val="center"/>
          </w:tcPr>
          <w:p>
            <w:pPr>
              <w:widowControl/>
              <w:spacing w:line="260" w:lineRule="exac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■政府网站</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■全国公共资源交易平台（河北省</w:t>
            </w:r>
            <w:r>
              <w:rPr>
                <w:rFonts w:cs="宋体" w:asciiTheme="minorEastAsia" w:hAnsiTheme="minorEastAsia"/>
                <w:color w:val="auto"/>
                <w:kern w:val="0"/>
                <w:sz w:val="20"/>
                <w:szCs w:val="20"/>
              </w:rPr>
              <w:t>）</w:t>
            </w:r>
          </w:p>
        </w:tc>
        <w:tc>
          <w:tcPr>
            <w:tcW w:w="201" w:type="pct"/>
            <w:shd w:val="clear" w:color="auto" w:fill="auto"/>
            <w:noWrap/>
            <w:vAlign w:val="center"/>
          </w:tcPr>
          <w:p>
            <w:pPr>
              <w:widowControl/>
              <w:spacing w:line="260" w:lineRule="exact"/>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auto"/>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w:t>
            </w:r>
          </w:p>
        </w:tc>
        <w:tc>
          <w:tcPr>
            <w:tcW w:w="240" w:type="pct"/>
            <w:shd w:val="clear" w:color="auto" w:fill="auto"/>
            <w:vAlign w:val="center"/>
          </w:tcPr>
          <w:p>
            <w:pPr>
              <w:widowControl/>
              <w:spacing w:line="260" w:lineRule="exact"/>
              <w:jc w:val="center"/>
              <w:rPr>
                <w:rFonts w:cs="宋体" w:asciiTheme="minorEastAsia" w:hAnsi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trPr>
        <w:tc>
          <w:tcPr>
            <w:tcW w:w="150"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20</w:t>
            </w:r>
          </w:p>
        </w:tc>
        <w:tc>
          <w:tcPr>
            <w:tcW w:w="251" w:type="pct"/>
            <w:vMerge w:val="continue"/>
            <w:shd w:val="clear" w:color="auto" w:fill="auto"/>
            <w:vAlign w:val="center"/>
          </w:tcPr>
          <w:p>
            <w:pPr>
              <w:widowControl/>
              <w:spacing w:line="260" w:lineRule="exact"/>
              <w:jc w:val="center"/>
              <w:rPr>
                <w:rFonts w:cs="宋体" w:asciiTheme="minorEastAsia" w:hAnsiTheme="minorEastAsia"/>
                <w:color w:val="000000"/>
                <w:kern w:val="0"/>
                <w:sz w:val="20"/>
                <w:szCs w:val="20"/>
              </w:rPr>
            </w:pP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责任</w:t>
            </w:r>
            <w:r>
              <w:rPr>
                <w:rFonts w:cs="宋体" w:asciiTheme="minorEastAsia" w:hAnsiTheme="minorEastAsia"/>
                <w:color w:val="000000"/>
                <w:kern w:val="0"/>
                <w:sz w:val="20"/>
                <w:szCs w:val="20"/>
              </w:rPr>
              <w:t>事项</w:t>
            </w:r>
          </w:p>
        </w:tc>
        <w:tc>
          <w:tcPr>
            <w:tcW w:w="60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应急指挥管理</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教育训练管理</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风险监测和综合减灾管理</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救援协调和预案管理</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森林火灾扑救</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抗洪抢险</w:t>
            </w:r>
            <w:r>
              <w:rPr>
                <w:rFonts w:hint="eastAsia" w:cs="宋体" w:asciiTheme="minorEastAsia" w:hAnsiTheme="minorEastAsia"/>
                <w:color w:val="000000"/>
                <w:kern w:val="0"/>
                <w:sz w:val="20"/>
                <w:szCs w:val="20"/>
                <w:lang w:val="en-US" w:eastAsia="zh-CN"/>
              </w:rPr>
              <w:t>救援</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地震和地质灾害救援管理</w:t>
            </w:r>
            <w:r>
              <w:rPr>
                <w:rFonts w:cs="宋体" w:asciiTheme="minorEastAsia" w:hAnsiTheme="minorEastAsia"/>
                <w:color w:val="000000"/>
                <w:kern w:val="0"/>
                <w:sz w:val="20"/>
                <w:szCs w:val="20"/>
              </w:rPr>
              <w:t>、救灾</w:t>
            </w:r>
            <w:r>
              <w:rPr>
                <w:rFonts w:hint="eastAsia" w:cs="宋体" w:asciiTheme="minorEastAsia" w:hAnsiTheme="minorEastAsia"/>
                <w:color w:val="000000"/>
                <w:kern w:val="0"/>
                <w:sz w:val="20"/>
                <w:szCs w:val="20"/>
              </w:rPr>
              <w:t>和物资保障管理</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危险化学品安全监管</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非煤矿山安全监管</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工商贸行业安全监管</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安全生产综合协调管理</w:t>
            </w:r>
            <w:r>
              <w:rPr>
                <w:rFonts w:cs="宋体" w:asciiTheme="minorEastAsia" w:hAnsiTheme="minorEastAsia"/>
                <w:color w:val="000000"/>
                <w:kern w:val="0"/>
                <w:sz w:val="20"/>
                <w:szCs w:val="20"/>
              </w:rPr>
              <w:t>、</w:t>
            </w:r>
            <w:r>
              <w:rPr>
                <w:rFonts w:hint="eastAsia" w:cs="宋体" w:asciiTheme="minorEastAsia" w:hAnsiTheme="minorEastAsia"/>
                <w:kern w:val="0"/>
                <w:sz w:val="20"/>
                <w:szCs w:val="20"/>
              </w:rPr>
              <w:t>煤炭安全管理</w:t>
            </w:r>
            <w:r>
              <w:rPr>
                <w:rFonts w:cs="宋体" w:asciiTheme="minorEastAsia" w:hAnsiTheme="minorEastAsia"/>
                <w:kern w:val="0"/>
                <w:sz w:val="20"/>
                <w:szCs w:val="20"/>
              </w:rPr>
              <w:t>、</w:t>
            </w:r>
            <w:r>
              <w:rPr>
                <w:rFonts w:hint="eastAsia" w:cs="宋体" w:asciiTheme="minorEastAsia" w:hAnsiTheme="minorEastAsia"/>
                <w:color w:val="000000"/>
                <w:kern w:val="0"/>
                <w:sz w:val="20"/>
                <w:szCs w:val="20"/>
              </w:rPr>
              <w:t>安全生产监察</w:t>
            </w:r>
            <w:r>
              <w:rPr>
                <w:rFonts w:cs="宋体" w:asciiTheme="minorEastAsia" w:hAnsiTheme="minorEastAsia"/>
                <w:color w:val="000000"/>
                <w:kern w:val="0"/>
                <w:sz w:val="20"/>
                <w:szCs w:val="20"/>
              </w:rPr>
              <w:t>等事项相关信息</w:t>
            </w:r>
          </w:p>
        </w:tc>
        <w:tc>
          <w:tcPr>
            <w:tcW w:w="67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《中华人民共和国政府信息公开条例》《关于全面推进政务公开工作的意见》</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■政府网站</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noWrap/>
            <w:vAlign w:val="center"/>
          </w:tcPr>
          <w:p>
            <w:pPr>
              <w:widowControl/>
              <w:spacing w:line="260" w:lineRule="exact"/>
              <w:jc w:val="center"/>
              <w:rPr>
                <w:rFonts w:cs="宋体" w:asciiTheme="minorEastAsia" w:hAnsi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14" w:hRule="atLeast"/>
        </w:trPr>
        <w:tc>
          <w:tcPr>
            <w:tcW w:w="150" w:type="pct"/>
            <w:shd w:val="clear" w:color="auto" w:fill="auto"/>
            <w:vAlign w:val="center"/>
          </w:tcPr>
          <w:p>
            <w:pPr>
              <w:widowControl/>
              <w:spacing w:line="260" w:lineRule="exact"/>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21</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事项办理(行政处罚)</w:t>
            </w:r>
          </w:p>
        </w:tc>
        <w:tc>
          <w:tcPr>
            <w:tcW w:w="1365" w:type="pct"/>
            <w:shd w:val="clear" w:color="auto" w:fill="auto"/>
            <w:vAlign w:val="center"/>
          </w:tcPr>
          <w:p>
            <w:pPr>
              <w:spacing w:line="260" w:lineRule="exact"/>
              <w:ind w:firstLine="400" w:firstLineChars="200"/>
              <w:rPr>
                <w:rFonts w:cs="宋体" w:asciiTheme="minorEastAsia" w:hAnsiTheme="minorEastAsia"/>
                <w:color w:val="000000"/>
                <w:kern w:val="0"/>
                <w:sz w:val="20"/>
                <w:szCs w:val="20"/>
              </w:rPr>
            </w:pPr>
            <w:r>
              <w:rPr>
                <w:rFonts w:hint="eastAsia"/>
                <w:sz w:val="20"/>
                <w:szCs w:val="20"/>
              </w:rPr>
              <w:t>（共</w:t>
            </w:r>
            <w:r>
              <w:rPr>
                <w:sz w:val="20"/>
                <w:szCs w:val="20"/>
              </w:rPr>
              <w:t>2</w:t>
            </w:r>
            <w:r>
              <w:rPr>
                <w:rFonts w:hint="eastAsia"/>
                <w:sz w:val="20"/>
                <w:szCs w:val="20"/>
              </w:rPr>
              <w:t>项）对发现的危险化学品、烟花爆竹生产、经营单位，矿山企业、工商贸企业存在的安全生产违法行为，依据《中华人民共和国安全生产法》《河北省安全生产条例》以及其他有关安全生产法律法规规定，依法作出行政处罚决定；对发现的安全评价机构</w:t>
            </w:r>
            <w:r>
              <w:rPr>
                <w:sz w:val="20"/>
                <w:szCs w:val="20"/>
              </w:rPr>
              <w:t>、安全</w:t>
            </w:r>
            <w:r>
              <w:rPr>
                <w:rFonts w:hint="eastAsia"/>
                <w:sz w:val="20"/>
                <w:szCs w:val="20"/>
              </w:rPr>
              <w:t>生产检测检验机构、安全培训机构存在的安全生产违法行为，依据《中华人民共和国安全生产法》《河北省安全生产条例》以及其他有关安全生产法律法规规定，依法作出行政处罚决定</w:t>
            </w:r>
          </w:p>
        </w:tc>
        <w:tc>
          <w:tcPr>
            <w:tcW w:w="60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kern w:val="0"/>
                <w:sz w:val="20"/>
                <w:szCs w:val="20"/>
              </w:rPr>
              <w:t>每</w:t>
            </w:r>
            <w:r>
              <w:rPr>
                <w:rFonts w:cs="宋体" w:asciiTheme="minorEastAsia" w:hAnsiTheme="minorEastAsia"/>
                <w:kern w:val="0"/>
                <w:sz w:val="20"/>
                <w:szCs w:val="20"/>
              </w:rPr>
              <w:t>类事项</w:t>
            </w:r>
            <w:r>
              <w:rPr>
                <w:rFonts w:hint="eastAsia" w:cs="宋体" w:asciiTheme="minorEastAsia" w:hAnsiTheme="minorEastAsia"/>
                <w:color w:val="000000"/>
                <w:kern w:val="0"/>
                <w:sz w:val="20"/>
                <w:szCs w:val="20"/>
              </w:rPr>
              <w:t>基本信息、办理流程、设定依据、办理结果</w:t>
            </w:r>
          </w:p>
        </w:tc>
        <w:tc>
          <w:tcPr>
            <w:tcW w:w="67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《中华人民共和国政府信息公开条例》《河北省行政执法公示办法》</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执法决定信息在7个工作日内公开，其他相关信息形成或变更之日起20个工作日内公开</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■政务服务中心</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■河北省行政执法公示平台</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noWrap/>
            <w:vAlign w:val="center"/>
          </w:tcPr>
          <w:p>
            <w:pPr>
              <w:widowControl/>
              <w:spacing w:line="260" w:lineRule="exact"/>
              <w:jc w:val="center"/>
              <w:rPr>
                <w:rFonts w:cs="宋体" w:asciiTheme="minorEastAsia" w:hAnsi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trPr>
        <w:tc>
          <w:tcPr>
            <w:tcW w:w="150" w:type="pct"/>
            <w:shd w:val="clear" w:color="auto" w:fill="auto"/>
            <w:vAlign w:val="center"/>
          </w:tcPr>
          <w:p>
            <w:pPr>
              <w:spacing w:line="260" w:lineRule="exact"/>
              <w:jc w:val="center"/>
              <w:rPr>
                <w:rFonts w:hint="eastAsia" w:cs="宋体" w:asciiTheme="minorEastAsia" w:hAnsiTheme="minorEastAsia" w:eastAsiaTheme="minorEastAsia"/>
                <w:color w:val="000000"/>
                <w:sz w:val="20"/>
                <w:szCs w:val="20"/>
                <w:lang w:eastAsia="zh-CN"/>
              </w:rPr>
            </w:pPr>
            <w:r>
              <w:rPr>
                <w:rFonts w:asciiTheme="minorEastAsia" w:hAnsiTheme="minorEastAsia"/>
                <w:color w:val="000000"/>
                <w:sz w:val="20"/>
                <w:szCs w:val="20"/>
              </w:rPr>
              <w:t>2</w:t>
            </w:r>
            <w:r>
              <w:rPr>
                <w:rFonts w:hint="eastAsia" w:asciiTheme="minorEastAsia" w:hAnsiTheme="minorEastAsia"/>
                <w:color w:val="000000"/>
                <w:sz w:val="20"/>
                <w:szCs w:val="20"/>
                <w:lang w:val="en-US" w:eastAsia="zh-CN"/>
              </w:rPr>
              <w:t>2</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事项办理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(行政强制)</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（共2项</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对不符合保障安全生产的国家标准或者行业标准的设施、设备、器材以及违法生产、储存、使用、经营的危险物品（危险</w:t>
            </w:r>
            <w:r>
              <w:rPr>
                <w:rFonts w:cs="宋体" w:asciiTheme="minorEastAsia" w:hAnsiTheme="minorEastAsia"/>
                <w:color w:val="000000"/>
                <w:kern w:val="0"/>
                <w:sz w:val="20"/>
                <w:szCs w:val="20"/>
              </w:rPr>
              <w:t>化学品）</w:t>
            </w:r>
            <w:r>
              <w:rPr>
                <w:rFonts w:hint="eastAsia" w:cs="宋体" w:asciiTheme="minorEastAsia" w:hAnsiTheme="minorEastAsia"/>
                <w:color w:val="000000"/>
                <w:kern w:val="0"/>
                <w:sz w:val="20"/>
                <w:szCs w:val="20"/>
              </w:rPr>
              <w:t>予以查封或者扣押，对违法生产、储存、使用、经营危险物品（危险</w:t>
            </w:r>
            <w:r>
              <w:rPr>
                <w:rFonts w:cs="宋体" w:asciiTheme="minorEastAsia" w:hAnsiTheme="minorEastAsia"/>
                <w:color w:val="000000"/>
                <w:kern w:val="0"/>
                <w:sz w:val="20"/>
                <w:szCs w:val="20"/>
              </w:rPr>
              <w:t>化学品）</w:t>
            </w:r>
            <w:r>
              <w:rPr>
                <w:rFonts w:hint="eastAsia" w:cs="宋体" w:asciiTheme="minorEastAsia" w:hAnsiTheme="minorEastAsia"/>
                <w:color w:val="000000"/>
                <w:kern w:val="0"/>
                <w:sz w:val="20"/>
                <w:szCs w:val="20"/>
              </w:rPr>
              <w:t>的作业场所予以查封，责令从危险区域内撤出作业人员、责令暂时停产停业或者停止使用相关设施、设备；通知有关单位停止供电、</w:t>
            </w:r>
            <w:r>
              <w:rPr>
                <w:rFonts w:cs="宋体" w:asciiTheme="minorEastAsia" w:hAnsiTheme="minorEastAsia"/>
                <w:color w:val="000000"/>
                <w:kern w:val="0"/>
                <w:sz w:val="20"/>
                <w:szCs w:val="20"/>
              </w:rPr>
              <w:t>停止供应</w:t>
            </w:r>
            <w:r>
              <w:rPr>
                <w:rFonts w:hint="eastAsia" w:cs="宋体" w:asciiTheme="minorEastAsia" w:hAnsiTheme="minorEastAsia"/>
                <w:color w:val="000000"/>
                <w:kern w:val="0"/>
                <w:sz w:val="20"/>
                <w:szCs w:val="20"/>
              </w:rPr>
              <w:t>民用爆炸物品等</w:t>
            </w:r>
            <w:r>
              <w:rPr>
                <w:rFonts w:cs="宋体" w:asciiTheme="minorEastAsia" w:hAnsiTheme="minorEastAsia"/>
                <w:color w:val="000000"/>
                <w:kern w:val="0"/>
                <w:sz w:val="20"/>
                <w:szCs w:val="20"/>
              </w:rPr>
              <w:t>措施</w:t>
            </w:r>
            <w:r>
              <w:rPr>
                <w:rFonts w:hint="eastAsia" w:cs="宋体" w:asciiTheme="minorEastAsia" w:hAnsiTheme="minorEastAsia"/>
                <w:color w:val="000000"/>
                <w:kern w:val="0"/>
                <w:sz w:val="20"/>
                <w:szCs w:val="20"/>
              </w:rPr>
              <w:t>，强制生产经营单位履行决定</w:t>
            </w:r>
          </w:p>
        </w:tc>
        <w:tc>
          <w:tcPr>
            <w:tcW w:w="60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kern w:val="0"/>
                <w:sz w:val="20"/>
                <w:szCs w:val="20"/>
              </w:rPr>
              <w:t>每</w:t>
            </w:r>
            <w:r>
              <w:rPr>
                <w:rFonts w:cs="宋体" w:asciiTheme="minorEastAsia" w:hAnsiTheme="minorEastAsia"/>
                <w:kern w:val="0"/>
                <w:sz w:val="20"/>
                <w:szCs w:val="20"/>
              </w:rPr>
              <w:t>类事项</w:t>
            </w:r>
            <w:r>
              <w:rPr>
                <w:rFonts w:hint="eastAsia" w:cs="宋体" w:asciiTheme="minorEastAsia" w:hAnsiTheme="minorEastAsia"/>
                <w:color w:val="000000"/>
                <w:kern w:val="0"/>
                <w:sz w:val="20"/>
                <w:szCs w:val="20"/>
              </w:rPr>
              <w:t>基本信息、办理流程、设定依据、办理结果</w:t>
            </w:r>
          </w:p>
        </w:tc>
        <w:tc>
          <w:tcPr>
            <w:tcW w:w="67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《中华人民共和国政府信息公开条例》《河北省行政执法公示办法》</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■政务服务中心</w:t>
            </w:r>
          </w:p>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■一体化在线政务服务平台</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■河北省行政执法公示平台</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39" w:hRule="atLeast"/>
        </w:trPr>
        <w:tc>
          <w:tcPr>
            <w:tcW w:w="150" w:type="pct"/>
            <w:shd w:val="clear" w:color="auto" w:fill="auto"/>
            <w:vAlign w:val="center"/>
          </w:tcPr>
          <w:p>
            <w:pPr>
              <w:spacing w:line="260" w:lineRule="exact"/>
              <w:jc w:val="center"/>
              <w:rPr>
                <w:rFonts w:hint="eastAsia" w:cs="宋体" w:asciiTheme="minorEastAsia" w:hAnsiTheme="minorEastAsia" w:eastAsiaTheme="minorEastAsia"/>
                <w:color w:val="000000"/>
                <w:sz w:val="20"/>
                <w:szCs w:val="20"/>
                <w:lang w:eastAsia="zh-CN"/>
              </w:rPr>
            </w:pPr>
            <w:r>
              <w:rPr>
                <w:rFonts w:asciiTheme="minorEastAsia" w:hAnsiTheme="minorEastAsia"/>
                <w:color w:val="000000"/>
                <w:sz w:val="20"/>
                <w:szCs w:val="20"/>
              </w:rPr>
              <w:t>2</w:t>
            </w:r>
            <w:r>
              <w:rPr>
                <w:rFonts w:hint="eastAsia" w:asciiTheme="minorEastAsia" w:hAnsiTheme="minorEastAsia"/>
                <w:color w:val="000000"/>
                <w:sz w:val="20"/>
                <w:szCs w:val="20"/>
                <w:lang w:val="en-US" w:eastAsia="zh-CN"/>
              </w:rPr>
              <w:t>3</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事项办理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(行政确认)</w:t>
            </w:r>
          </w:p>
        </w:tc>
        <w:tc>
          <w:tcPr>
            <w:tcW w:w="136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矿山、金属冶炼单位的主要负责人和安全生产管理人员的安全生产知识和管理能力考核</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每</w:t>
            </w:r>
            <w:r>
              <w:rPr>
                <w:rFonts w:cs="宋体" w:asciiTheme="minorEastAsia" w:hAnsiTheme="minorEastAsia"/>
                <w:kern w:val="0"/>
                <w:sz w:val="20"/>
                <w:szCs w:val="20"/>
              </w:rPr>
              <w:t>类事项的</w:t>
            </w:r>
            <w:r>
              <w:rPr>
                <w:rFonts w:hint="eastAsia" w:cs="宋体" w:asciiTheme="minorEastAsia" w:hAnsiTheme="minorEastAsia"/>
                <w:kern w:val="0"/>
                <w:sz w:val="20"/>
                <w:szCs w:val="20"/>
              </w:rPr>
              <w:t>基本信息、受理条件、设定依据、办理流程、常见问题、收费标准、办理材料目录、办理结果样本、法律援助、办理结果、评价信息</w:t>
            </w:r>
          </w:p>
        </w:tc>
        <w:tc>
          <w:tcPr>
            <w:tcW w:w="67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《中华人民共和国政府信息公开条例》《河北省行政执法公示办法》《河北</w:t>
            </w:r>
            <w:r>
              <w:rPr>
                <w:rFonts w:cs="宋体" w:asciiTheme="minorEastAsia" w:hAnsiTheme="minorEastAsia"/>
                <w:color w:val="000000"/>
                <w:kern w:val="0"/>
                <w:sz w:val="20"/>
                <w:szCs w:val="20"/>
              </w:rPr>
              <w:t>省人民政府办公厅关于印发河北省政务服务“</w:t>
            </w:r>
            <w:r>
              <w:rPr>
                <w:rFonts w:hint="eastAsia" w:cs="宋体" w:asciiTheme="minorEastAsia" w:hAnsiTheme="minorEastAsia"/>
                <w:color w:val="000000"/>
                <w:kern w:val="0"/>
                <w:sz w:val="20"/>
                <w:szCs w:val="20"/>
              </w:rPr>
              <w:t>好</w:t>
            </w:r>
            <w:r>
              <w:rPr>
                <w:rFonts w:cs="宋体" w:asciiTheme="minorEastAsia" w:hAnsiTheme="minorEastAsia"/>
                <w:color w:val="000000"/>
                <w:kern w:val="0"/>
                <w:sz w:val="20"/>
                <w:szCs w:val="20"/>
              </w:rPr>
              <w:t>差评”</w:t>
            </w:r>
            <w:r>
              <w:rPr>
                <w:rFonts w:hint="eastAsia" w:cs="宋体" w:asciiTheme="minorEastAsia" w:hAnsiTheme="minorEastAsia"/>
                <w:color w:val="000000"/>
                <w:kern w:val="0"/>
                <w:sz w:val="20"/>
                <w:szCs w:val="20"/>
              </w:rPr>
              <w:t>评价</w:t>
            </w:r>
            <w:r>
              <w:rPr>
                <w:rFonts w:cs="宋体" w:asciiTheme="minorEastAsia" w:hAnsiTheme="minorEastAsia"/>
                <w:color w:val="000000"/>
                <w:kern w:val="0"/>
                <w:sz w:val="20"/>
                <w:szCs w:val="20"/>
              </w:rPr>
              <w:t>办法的通知》</w:t>
            </w:r>
            <w:r>
              <w:rPr>
                <w:rFonts w:hint="eastAsia" w:cs="宋体" w:asciiTheme="minorEastAsia" w:hAnsiTheme="minorEastAsia"/>
                <w:color w:val="000000"/>
                <w:kern w:val="0"/>
                <w:sz w:val="20"/>
                <w:szCs w:val="20"/>
              </w:rPr>
              <w:t>等</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■政务服务中心</w:t>
            </w:r>
          </w:p>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■一体化在线政务服务平台</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■河北省行政执法公示平台</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121" w:hRule="atLeast"/>
        </w:trPr>
        <w:tc>
          <w:tcPr>
            <w:tcW w:w="150" w:type="pct"/>
            <w:shd w:val="clear" w:color="auto" w:fill="auto"/>
            <w:vAlign w:val="center"/>
          </w:tcPr>
          <w:p>
            <w:pPr>
              <w:spacing w:line="260" w:lineRule="exact"/>
              <w:jc w:val="center"/>
              <w:rPr>
                <w:rFonts w:hint="eastAsia" w:cs="宋体" w:asciiTheme="minorEastAsia" w:hAnsiTheme="minorEastAsia" w:eastAsiaTheme="minorEastAsia"/>
                <w:color w:val="000000"/>
                <w:sz w:val="20"/>
                <w:szCs w:val="20"/>
                <w:lang w:eastAsia="zh-CN"/>
              </w:rPr>
            </w:pPr>
            <w:r>
              <w:rPr>
                <w:rFonts w:asciiTheme="minorEastAsia" w:hAnsiTheme="minorEastAsia"/>
                <w:color w:val="000000"/>
                <w:sz w:val="20"/>
                <w:szCs w:val="20"/>
              </w:rPr>
              <w:t>2</w:t>
            </w:r>
            <w:r>
              <w:rPr>
                <w:rFonts w:hint="eastAsia" w:asciiTheme="minorEastAsia" w:hAnsiTheme="minorEastAsia"/>
                <w:color w:val="000000"/>
                <w:sz w:val="20"/>
                <w:szCs w:val="20"/>
                <w:lang w:val="en-US" w:eastAsia="zh-CN"/>
              </w:rPr>
              <w:t>4</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事项办理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(公共服务)</w:t>
            </w:r>
          </w:p>
        </w:tc>
        <w:tc>
          <w:tcPr>
            <w:tcW w:w="136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（共2项）社会力量参与抢险救灾公路通行服务、</w:t>
            </w:r>
            <w:r>
              <w:rPr>
                <w:rFonts w:hint="eastAsia" w:cs="宋体" w:asciiTheme="minorEastAsia" w:hAnsiTheme="minorEastAsia"/>
                <w:kern w:val="0"/>
                <w:sz w:val="20"/>
                <w:szCs w:val="20"/>
              </w:rPr>
              <w:t>自然灾害捐赠</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每</w:t>
            </w:r>
            <w:r>
              <w:rPr>
                <w:rFonts w:cs="宋体" w:asciiTheme="minorEastAsia" w:hAnsiTheme="minorEastAsia"/>
                <w:kern w:val="0"/>
                <w:sz w:val="20"/>
                <w:szCs w:val="20"/>
              </w:rPr>
              <w:t>类事项的</w:t>
            </w:r>
            <w:r>
              <w:rPr>
                <w:rFonts w:hint="eastAsia" w:cs="宋体" w:asciiTheme="minorEastAsia" w:hAnsiTheme="minorEastAsia"/>
                <w:kern w:val="0"/>
                <w:sz w:val="20"/>
                <w:szCs w:val="20"/>
              </w:rPr>
              <w:t>基本信息、受理条件、办理流程、办理结果</w:t>
            </w:r>
          </w:p>
        </w:tc>
        <w:tc>
          <w:tcPr>
            <w:tcW w:w="67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《中华人民共和国政府信息公开条例》《河北省实施&lt;中华人民共和国政府信息公开条例&gt;办法》等</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■政务服务中心</w:t>
            </w:r>
          </w:p>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■一体化在线政务服务平台</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trPr>
        <w:tc>
          <w:tcPr>
            <w:tcW w:w="150" w:type="pct"/>
            <w:shd w:val="clear" w:color="auto" w:fill="auto"/>
            <w:vAlign w:val="center"/>
          </w:tcPr>
          <w:p>
            <w:pPr>
              <w:spacing w:line="260" w:lineRule="exact"/>
              <w:jc w:val="center"/>
              <w:rPr>
                <w:rFonts w:hint="eastAsia" w:cs="宋体" w:asciiTheme="minorEastAsia" w:hAnsiTheme="minorEastAsia" w:eastAsiaTheme="minorEastAsia"/>
                <w:color w:val="000000"/>
                <w:sz w:val="20"/>
                <w:szCs w:val="20"/>
                <w:lang w:val="en-US" w:eastAsia="zh-CN"/>
              </w:rPr>
            </w:pPr>
            <w:r>
              <w:rPr>
                <w:rFonts w:cs="宋体" w:asciiTheme="minorEastAsia" w:hAnsiTheme="minorEastAsia"/>
                <w:color w:val="000000"/>
                <w:sz w:val="20"/>
                <w:szCs w:val="20"/>
              </w:rPr>
              <w:t>2</w:t>
            </w:r>
            <w:r>
              <w:rPr>
                <w:rFonts w:hint="eastAsia" w:cs="宋体" w:asciiTheme="minorEastAsia" w:hAnsiTheme="minorEastAsia"/>
                <w:color w:val="000000"/>
                <w:sz w:val="20"/>
                <w:szCs w:val="20"/>
                <w:lang w:val="en-US" w:eastAsia="zh-CN"/>
              </w:rPr>
              <w:t>5</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事项办理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(行政奖励)</w:t>
            </w:r>
          </w:p>
        </w:tc>
        <w:tc>
          <w:tcPr>
            <w:tcW w:w="136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安全生产年度目标考核和表彰</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事项</w:t>
            </w:r>
            <w:r>
              <w:rPr>
                <w:rFonts w:cs="宋体" w:asciiTheme="minorEastAsia" w:hAnsiTheme="minorEastAsia"/>
                <w:kern w:val="0"/>
                <w:sz w:val="20"/>
                <w:szCs w:val="20"/>
              </w:rPr>
              <w:t>办理的</w:t>
            </w:r>
            <w:r>
              <w:rPr>
                <w:rFonts w:hint="eastAsia" w:cs="宋体" w:asciiTheme="minorEastAsia" w:hAnsiTheme="minorEastAsia"/>
                <w:kern w:val="0"/>
                <w:sz w:val="20"/>
                <w:szCs w:val="20"/>
              </w:rPr>
              <w:t>基本信息</w:t>
            </w:r>
          </w:p>
        </w:tc>
        <w:tc>
          <w:tcPr>
            <w:tcW w:w="67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《中华人民共和国政府信息公开条例》（国务院令第711号）等</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■政务新媒体</w:t>
            </w:r>
          </w:p>
        </w:tc>
        <w:tc>
          <w:tcPr>
            <w:tcW w:w="201" w:type="pct"/>
            <w:shd w:val="clear" w:color="auto" w:fill="auto"/>
            <w:noWrap/>
            <w:vAlign w:val="center"/>
          </w:tcPr>
          <w:p>
            <w:pPr>
              <w:widowControl/>
              <w:spacing w:line="260" w:lineRule="exact"/>
              <w:jc w:val="center"/>
              <w:rPr>
                <w:rFonts w:cs="宋体" w:asciiTheme="minorEastAsia" w:hAnsiTheme="minorEastAsia"/>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kern w:val="0"/>
                <w:sz w:val="20"/>
                <w:szCs w:val="20"/>
              </w:rPr>
            </w:pPr>
          </w:p>
        </w:tc>
        <w:tc>
          <w:tcPr>
            <w:tcW w:w="240" w:type="pct"/>
            <w:shd w:val="clear" w:color="auto" w:fill="auto"/>
            <w:noWrap/>
            <w:vAlign w:val="center"/>
          </w:tcPr>
          <w:p>
            <w:pPr>
              <w:widowControl/>
              <w:spacing w:line="260" w:lineRule="exact"/>
              <w:jc w:val="center"/>
              <w:rPr>
                <w:rFonts w:cs="宋体" w:asciiTheme="minorEastAsia" w:hAnsi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40" w:hRule="atLeast"/>
        </w:trPr>
        <w:tc>
          <w:tcPr>
            <w:tcW w:w="150" w:type="pct"/>
            <w:shd w:val="clear" w:color="auto" w:fill="auto"/>
            <w:vAlign w:val="center"/>
          </w:tcPr>
          <w:p>
            <w:pPr>
              <w:spacing w:line="260" w:lineRule="exact"/>
              <w:jc w:val="center"/>
              <w:rPr>
                <w:rFonts w:hint="eastAsia" w:cs="宋体" w:asciiTheme="minorEastAsia" w:hAnsiTheme="minorEastAsia" w:eastAsiaTheme="minorEastAsia"/>
                <w:color w:val="000000"/>
                <w:sz w:val="20"/>
                <w:szCs w:val="20"/>
                <w:lang w:val="en-US" w:eastAsia="zh-CN"/>
              </w:rPr>
            </w:pPr>
            <w:r>
              <w:rPr>
                <w:rFonts w:asciiTheme="minorEastAsia" w:hAnsiTheme="minorEastAsia"/>
                <w:color w:val="000000"/>
                <w:sz w:val="20"/>
                <w:szCs w:val="20"/>
              </w:rPr>
              <w:t>2</w:t>
            </w:r>
            <w:r>
              <w:rPr>
                <w:rFonts w:hint="eastAsia" w:asciiTheme="minorEastAsia" w:hAnsiTheme="minorEastAsia"/>
                <w:color w:val="000000"/>
                <w:sz w:val="20"/>
                <w:szCs w:val="20"/>
                <w:lang w:val="en-US" w:eastAsia="zh-CN"/>
              </w:rPr>
              <w:t>6</w:t>
            </w:r>
          </w:p>
        </w:tc>
        <w:tc>
          <w:tcPr>
            <w:tcW w:w="251" w:type="pct"/>
            <w:shd w:val="clear" w:color="auto" w:fill="auto"/>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事项办理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(其他权力)</w:t>
            </w:r>
          </w:p>
        </w:tc>
        <w:tc>
          <w:tcPr>
            <w:tcW w:w="1365" w:type="pct"/>
            <w:shd w:val="clear" w:color="auto" w:fill="auto"/>
            <w:vAlign w:val="center"/>
          </w:tcPr>
          <w:p>
            <w:pPr>
              <w:widowControl/>
              <w:spacing w:line="260" w:lineRule="exact"/>
              <w:jc w:val="both"/>
              <w:rPr>
                <w:rFonts w:cs="宋体" w:asciiTheme="minorEastAsia" w:hAnsiTheme="minorEastAsia"/>
                <w:kern w:val="0"/>
                <w:sz w:val="20"/>
                <w:szCs w:val="20"/>
              </w:rPr>
            </w:pPr>
            <w:r>
              <w:rPr>
                <w:rFonts w:hint="eastAsia" w:cs="宋体" w:asciiTheme="minorEastAsia" w:hAnsiTheme="minorEastAsia"/>
                <w:kern w:val="0"/>
                <w:sz w:val="20"/>
                <w:szCs w:val="20"/>
              </w:rPr>
              <w:t>应急预案备案</w:t>
            </w:r>
          </w:p>
        </w:tc>
        <w:tc>
          <w:tcPr>
            <w:tcW w:w="605" w:type="pct"/>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每类</w:t>
            </w:r>
            <w:r>
              <w:rPr>
                <w:rFonts w:cs="宋体" w:asciiTheme="minorEastAsia" w:hAnsiTheme="minorEastAsia"/>
                <w:kern w:val="0"/>
                <w:sz w:val="20"/>
                <w:szCs w:val="20"/>
              </w:rPr>
              <w:t>事项的</w:t>
            </w:r>
            <w:r>
              <w:rPr>
                <w:rFonts w:hint="eastAsia" w:cs="宋体" w:asciiTheme="minorEastAsia" w:hAnsiTheme="minorEastAsia"/>
                <w:kern w:val="0"/>
                <w:sz w:val="20"/>
                <w:szCs w:val="20"/>
              </w:rPr>
              <w:t>基本信息、办理流程、</w:t>
            </w:r>
            <w:r>
              <w:rPr>
                <w:rFonts w:cs="宋体" w:asciiTheme="minorEastAsia" w:hAnsiTheme="minorEastAsia"/>
                <w:kern w:val="0"/>
                <w:sz w:val="20"/>
                <w:szCs w:val="20"/>
              </w:rPr>
              <w:t>设定依据</w:t>
            </w:r>
            <w:r>
              <w:rPr>
                <w:rFonts w:hint="eastAsia" w:cs="宋体" w:asciiTheme="minorEastAsia" w:hAnsiTheme="minorEastAsia"/>
                <w:kern w:val="0"/>
                <w:sz w:val="20"/>
                <w:szCs w:val="20"/>
              </w:rPr>
              <w:t>、办理结果</w:t>
            </w:r>
          </w:p>
        </w:tc>
        <w:tc>
          <w:tcPr>
            <w:tcW w:w="675"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《中华人民共和国政府信息公开条例》《河北省行政执法公示办法》</w:t>
            </w:r>
          </w:p>
        </w:tc>
        <w:tc>
          <w:tcPr>
            <w:tcW w:w="59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信息产生或变更之日起20个工作日内公开，保持长期公开（相关法律法规另有规定的，从其规定）</w:t>
            </w:r>
          </w:p>
        </w:tc>
        <w:tc>
          <w:tcPr>
            <w:tcW w:w="507" w:type="pct"/>
            <w:shd w:val="clear" w:color="auto" w:fill="auto"/>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■政府网站</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■政务服务中心</w:t>
            </w:r>
          </w:p>
        </w:tc>
        <w:tc>
          <w:tcPr>
            <w:tcW w:w="201"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c>
          <w:tcPr>
            <w:tcW w:w="202"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tc>
        <w:tc>
          <w:tcPr>
            <w:tcW w:w="240" w:type="pct"/>
            <w:shd w:val="clear" w:color="auto" w:fill="auto"/>
            <w:noWrap/>
            <w:vAlign w:val="center"/>
          </w:tcPr>
          <w:p>
            <w:pPr>
              <w:widowControl/>
              <w:spacing w:line="260" w:lineRule="exact"/>
              <w:jc w:val="center"/>
              <w:rPr>
                <w:rFonts w:cs="宋体" w:asciiTheme="minorEastAsia" w:hAnsiTheme="minorEastAsia"/>
                <w:color w:val="000000"/>
                <w:kern w:val="0"/>
                <w:sz w:val="20"/>
                <w:szCs w:val="20"/>
              </w:rPr>
            </w:pPr>
          </w:p>
        </w:tc>
      </w:tr>
    </w:tbl>
    <w:p>
      <w:pPr>
        <w:widowControl/>
      </w:pPr>
      <w:r>
        <w:rPr>
          <w:rFonts w:hint="eastAsia" w:cs="宋体" w:asciiTheme="minorEastAsia" w:hAnsiTheme="minorEastAsia"/>
          <w:kern w:val="0"/>
          <w:sz w:val="22"/>
        </w:rPr>
        <w:t>注：法律、法规、规章和国家有关规定规定应当主动公开的其他政府信息应及时列入政务公开事项清单。</w:t>
      </w:r>
    </w:p>
    <w:p>
      <w:pPr>
        <w:rPr>
          <w:sz w:val="20"/>
          <w:szCs w:val="20"/>
        </w:rPr>
      </w:pPr>
      <w:bookmarkStart w:id="0" w:name="_GoBack"/>
      <w:bookmarkEnd w:id="0"/>
    </w:p>
    <w:sectPr>
      <w:footerReference r:id="rId3" w:type="default"/>
      <w:pgSz w:w="16839" w:h="11907" w:orient="landscape"/>
      <w:pgMar w:top="1418" w:right="1418" w:bottom="1418" w:left="1418" w:header="851" w:footer="124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6784945"/>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92"/>
    <w:rsid w:val="00001D62"/>
    <w:rsid w:val="000054F6"/>
    <w:rsid w:val="00010C61"/>
    <w:rsid w:val="00013466"/>
    <w:rsid w:val="00022853"/>
    <w:rsid w:val="00027CF1"/>
    <w:rsid w:val="00035314"/>
    <w:rsid w:val="000403E4"/>
    <w:rsid w:val="00061FB0"/>
    <w:rsid w:val="00073C64"/>
    <w:rsid w:val="00074C1A"/>
    <w:rsid w:val="00093637"/>
    <w:rsid w:val="000D4F76"/>
    <w:rsid w:val="000E2B2A"/>
    <w:rsid w:val="000F79F9"/>
    <w:rsid w:val="00126012"/>
    <w:rsid w:val="00144D98"/>
    <w:rsid w:val="00163F47"/>
    <w:rsid w:val="00167306"/>
    <w:rsid w:val="001841E2"/>
    <w:rsid w:val="00187A25"/>
    <w:rsid w:val="001A2B35"/>
    <w:rsid w:val="001B13A8"/>
    <w:rsid w:val="001E358A"/>
    <w:rsid w:val="001E4C69"/>
    <w:rsid w:val="001F5361"/>
    <w:rsid w:val="00203CEF"/>
    <w:rsid w:val="00234CCB"/>
    <w:rsid w:val="002404EF"/>
    <w:rsid w:val="00245C0B"/>
    <w:rsid w:val="00262277"/>
    <w:rsid w:val="00266827"/>
    <w:rsid w:val="002845F1"/>
    <w:rsid w:val="002A024F"/>
    <w:rsid w:val="002B0192"/>
    <w:rsid w:val="002C267F"/>
    <w:rsid w:val="002C7FBA"/>
    <w:rsid w:val="00307FD6"/>
    <w:rsid w:val="00315FE1"/>
    <w:rsid w:val="003231DC"/>
    <w:rsid w:val="00327892"/>
    <w:rsid w:val="003350A0"/>
    <w:rsid w:val="003616A4"/>
    <w:rsid w:val="003640A6"/>
    <w:rsid w:val="00387A85"/>
    <w:rsid w:val="00394815"/>
    <w:rsid w:val="003C531C"/>
    <w:rsid w:val="003E7067"/>
    <w:rsid w:val="003F49BA"/>
    <w:rsid w:val="00402EAF"/>
    <w:rsid w:val="004203C6"/>
    <w:rsid w:val="00433A34"/>
    <w:rsid w:val="004551E2"/>
    <w:rsid w:val="00463303"/>
    <w:rsid w:val="0046621D"/>
    <w:rsid w:val="00472DE4"/>
    <w:rsid w:val="00491514"/>
    <w:rsid w:val="004A4B11"/>
    <w:rsid w:val="004A6D07"/>
    <w:rsid w:val="004B5935"/>
    <w:rsid w:val="004F25C3"/>
    <w:rsid w:val="00500E49"/>
    <w:rsid w:val="00504AF1"/>
    <w:rsid w:val="00507BE4"/>
    <w:rsid w:val="00535A34"/>
    <w:rsid w:val="00551FD8"/>
    <w:rsid w:val="00556290"/>
    <w:rsid w:val="00557C37"/>
    <w:rsid w:val="00592AD3"/>
    <w:rsid w:val="005B4A9B"/>
    <w:rsid w:val="005B6C48"/>
    <w:rsid w:val="005C276A"/>
    <w:rsid w:val="005E6ADF"/>
    <w:rsid w:val="005F4E13"/>
    <w:rsid w:val="00604FCB"/>
    <w:rsid w:val="0061010B"/>
    <w:rsid w:val="006130A6"/>
    <w:rsid w:val="006335EB"/>
    <w:rsid w:val="00634285"/>
    <w:rsid w:val="006510AC"/>
    <w:rsid w:val="006536E8"/>
    <w:rsid w:val="00655A48"/>
    <w:rsid w:val="00695E47"/>
    <w:rsid w:val="006A458E"/>
    <w:rsid w:val="006A4EFD"/>
    <w:rsid w:val="006B2E0B"/>
    <w:rsid w:val="006B3491"/>
    <w:rsid w:val="006D507A"/>
    <w:rsid w:val="006E5AF5"/>
    <w:rsid w:val="006F06D4"/>
    <w:rsid w:val="006F3B05"/>
    <w:rsid w:val="006F6631"/>
    <w:rsid w:val="0071473A"/>
    <w:rsid w:val="00727C9E"/>
    <w:rsid w:val="00737935"/>
    <w:rsid w:val="007546AE"/>
    <w:rsid w:val="00793CB5"/>
    <w:rsid w:val="007971F5"/>
    <w:rsid w:val="007D3456"/>
    <w:rsid w:val="007D3FB1"/>
    <w:rsid w:val="007D5EC7"/>
    <w:rsid w:val="007F7E24"/>
    <w:rsid w:val="00801BB1"/>
    <w:rsid w:val="00813176"/>
    <w:rsid w:val="008243A4"/>
    <w:rsid w:val="00840386"/>
    <w:rsid w:val="00844F03"/>
    <w:rsid w:val="008515D5"/>
    <w:rsid w:val="00855C3A"/>
    <w:rsid w:val="0086557D"/>
    <w:rsid w:val="00885D90"/>
    <w:rsid w:val="00893285"/>
    <w:rsid w:val="008B2286"/>
    <w:rsid w:val="008B2BFF"/>
    <w:rsid w:val="008E3B97"/>
    <w:rsid w:val="009212E1"/>
    <w:rsid w:val="00924CF8"/>
    <w:rsid w:val="00926A07"/>
    <w:rsid w:val="00961D7D"/>
    <w:rsid w:val="009708AB"/>
    <w:rsid w:val="00983CD7"/>
    <w:rsid w:val="009922D9"/>
    <w:rsid w:val="00993225"/>
    <w:rsid w:val="009A6767"/>
    <w:rsid w:val="009B16BD"/>
    <w:rsid w:val="00A07F1A"/>
    <w:rsid w:val="00A45049"/>
    <w:rsid w:val="00A60A0F"/>
    <w:rsid w:val="00A661E4"/>
    <w:rsid w:val="00A83065"/>
    <w:rsid w:val="00A87EE6"/>
    <w:rsid w:val="00AA5164"/>
    <w:rsid w:val="00AB2EEF"/>
    <w:rsid w:val="00AB57B5"/>
    <w:rsid w:val="00AB71B4"/>
    <w:rsid w:val="00AE41D0"/>
    <w:rsid w:val="00AF11AB"/>
    <w:rsid w:val="00B0487F"/>
    <w:rsid w:val="00B3257C"/>
    <w:rsid w:val="00B52585"/>
    <w:rsid w:val="00B84453"/>
    <w:rsid w:val="00BA48DF"/>
    <w:rsid w:val="00BC4C45"/>
    <w:rsid w:val="00BE2D4D"/>
    <w:rsid w:val="00C0612D"/>
    <w:rsid w:val="00C31D50"/>
    <w:rsid w:val="00C50EC6"/>
    <w:rsid w:val="00C55064"/>
    <w:rsid w:val="00C75FA7"/>
    <w:rsid w:val="00C777BD"/>
    <w:rsid w:val="00C82D79"/>
    <w:rsid w:val="00C853AE"/>
    <w:rsid w:val="00C90D86"/>
    <w:rsid w:val="00CA5339"/>
    <w:rsid w:val="00CD2161"/>
    <w:rsid w:val="00CD41F6"/>
    <w:rsid w:val="00CE0F6A"/>
    <w:rsid w:val="00CE445C"/>
    <w:rsid w:val="00D00F9F"/>
    <w:rsid w:val="00D320FC"/>
    <w:rsid w:val="00D35F05"/>
    <w:rsid w:val="00D426FE"/>
    <w:rsid w:val="00D57EAE"/>
    <w:rsid w:val="00D64BB5"/>
    <w:rsid w:val="00D806E9"/>
    <w:rsid w:val="00DA309F"/>
    <w:rsid w:val="00DE76AC"/>
    <w:rsid w:val="00DF3EBF"/>
    <w:rsid w:val="00E136A7"/>
    <w:rsid w:val="00E8083C"/>
    <w:rsid w:val="00E81600"/>
    <w:rsid w:val="00E932D2"/>
    <w:rsid w:val="00EA2975"/>
    <w:rsid w:val="00ED4E8D"/>
    <w:rsid w:val="00F06483"/>
    <w:rsid w:val="00F13C2B"/>
    <w:rsid w:val="00F900B1"/>
    <w:rsid w:val="00F91D7C"/>
    <w:rsid w:val="00FB7465"/>
    <w:rsid w:val="00FC27F4"/>
    <w:rsid w:val="09CE5AC9"/>
    <w:rsid w:val="0E217985"/>
    <w:rsid w:val="2E634872"/>
    <w:rsid w:val="342239D9"/>
    <w:rsid w:val="37701FF7"/>
    <w:rsid w:val="44692B39"/>
    <w:rsid w:val="4BAD1200"/>
    <w:rsid w:val="4C724D88"/>
    <w:rsid w:val="5E64294D"/>
    <w:rsid w:val="68DA701A"/>
    <w:rsid w:val="7EB7D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0"/>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font11"/>
    <w:basedOn w:val="6"/>
    <w:qFormat/>
    <w:uiPriority w:val="0"/>
    <w:rPr>
      <w:rFonts w:hint="eastAsia" w:ascii="宋体" w:hAnsi="宋体" w:eastAsia="宋体"/>
      <w:color w:val="000000"/>
      <w:sz w:val="22"/>
      <w:szCs w:val="22"/>
      <w:u w:val="none"/>
    </w:rPr>
  </w:style>
  <w:style w:type="character" w:customStyle="1" w:styleId="12">
    <w:name w:val="font41"/>
    <w:basedOn w:val="6"/>
    <w:qFormat/>
    <w:uiPriority w:val="0"/>
    <w:rPr>
      <w:rFonts w:hint="default" w:ascii="Wingdings" w:hAnsi="Wingdings"/>
      <w:color w:val="000000"/>
      <w:sz w:val="22"/>
      <w:szCs w:val="22"/>
      <w:u w:val="none"/>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font7"/>
    <w:basedOn w:val="1"/>
    <w:qFormat/>
    <w:uiPriority w:val="0"/>
    <w:pPr>
      <w:widowControl/>
      <w:spacing w:before="100" w:beforeAutospacing="1" w:after="100" w:afterAutospacing="1"/>
      <w:jc w:val="left"/>
    </w:pPr>
    <w:rPr>
      <w:rFonts w:ascii="Wingdings" w:hAnsi="Wingdings" w:eastAsia="宋体" w:cs="宋体"/>
      <w:kern w:val="0"/>
      <w:sz w:val="22"/>
    </w:rPr>
  </w:style>
  <w:style w:type="paragraph" w:customStyle="1" w:styleId="16">
    <w:name w:val="xl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xl117"/>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18">
    <w:name w:val="xl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11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
    <w:name w:val="xl1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2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2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0">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1">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2">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6">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47">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0">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1">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2">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3">
    <w:name w:val="xl153"/>
    <w:basedOn w:val="1"/>
    <w:qFormat/>
    <w:uiPriority w:val="0"/>
    <w:pPr>
      <w:widowControl/>
      <w:pBdr>
        <w:top w:val="single" w:color="auto" w:sz="4" w:space="0"/>
        <w:bottom w:val="single" w:color="auto" w:sz="4" w:space="0"/>
      </w:pBdr>
      <w:spacing w:before="100" w:beforeAutospacing="1" w:after="100" w:afterAutospacing="1"/>
      <w:jc w:val="left"/>
    </w:pPr>
    <w:rPr>
      <w:rFonts w:ascii="楷体_GB2312" w:hAnsi="宋体" w:eastAsia="楷体_GB2312" w:cs="宋体"/>
      <w:kern w:val="0"/>
      <w:sz w:val="24"/>
      <w:szCs w:val="24"/>
    </w:rPr>
  </w:style>
  <w:style w:type="paragraph" w:customStyle="1" w:styleId="54">
    <w:name w:val="xl154"/>
    <w:basedOn w:val="1"/>
    <w:qFormat/>
    <w:uiPriority w:val="0"/>
    <w:pPr>
      <w:widowControl/>
      <w:pBdr>
        <w:top w:val="single" w:color="auto" w:sz="4" w:space="0"/>
        <w:bottom w:val="single" w:color="auto" w:sz="4" w:space="0"/>
      </w:pBdr>
      <w:spacing w:before="100" w:beforeAutospacing="1" w:after="100" w:afterAutospacing="1"/>
      <w:jc w:val="left"/>
    </w:pPr>
    <w:rPr>
      <w:rFonts w:ascii="楷体_GB2312" w:hAnsi="宋体" w:eastAsia="楷体_GB2312" w:cs="宋体"/>
      <w:kern w:val="0"/>
      <w:sz w:val="24"/>
      <w:szCs w:val="24"/>
    </w:rPr>
  </w:style>
  <w:style w:type="paragraph" w:customStyle="1" w:styleId="55">
    <w:name w:val="xl155"/>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56">
    <w:name w:val="xl156"/>
    <w:basedOn w:val="1"/>
    <w:qFormat/>
    <w:uiPriority w:val="0"/>
    <w:pPr>
      <w:widowControl/>
      <w:spacing w:before="100" w:beforeAutospacing="1" w:after="100" w:afterAutospacing="1"/>
      <w:jc w:val="left"/>
    </w:pPr>
    <w:rPr>
      <w:rFonts w:ascii="方正小标宋简体" w:hAnsi="宋体" w:eastAsia="方正小标宋简体" w:cs="宋体"/>
      <w:kern w:val="0"/>
      <w:sz w:val="44"/>
      <w:szCs w:val="44"/>
    </w:rPr>
  </w:style>
  <w:style w:type="paragraph" w:customStyle="1" w:styleId="57">
    <w:name w:val="xl157"/>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5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59">
    <w:name w:val="xl1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16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2">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3">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4">
    <w:name w:val="xl16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5">
    <w:name w:val="xl1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67">
    <w:name w:val="xl1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8">
    <w:name w:val="xl1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9">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0">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1">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
    <w:name w:val="xl71"/>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76">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7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79">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8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8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7">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8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90">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1">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9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6">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8">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9">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1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1">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2">
    <w:name w:val="xl98"/>
    <w:basedOn w:val="1"/>
    <w:qFormat/>
    <w:uiPriority w:val="0"/>
    <w:pPr>
      <w:widowControl/>
      <w:pBdr>
        <w:righ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103">
    <w:name w:val="xl99"/>
    <w:basedOn w:val="1"/>
    <w:qFormat/>
    <w:uiPriority w:val="0"/>
    <w:pPr>
      <w:widowControl/>
      <w:pBdr>
        <w:left w:val="single" w:color="auto" w:sz="4" w:space="0"/>
        <w:righ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104">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105">
    <w:name w:val="xl101"/>
    <w:basedOn w:val="1"/>
    <w:qFormat/>
    <w:uiPriority w:val="0"/>
    <w:pPr>
      <w:widowControl/>
      <w:pBdr>
        <w:lef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106">
    <w:name w:val="xl10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7">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8">
    <w:name w:val="xl104"/>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9">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10">
    <w:name w:val="xl106"/>
    <w:basedOn w:val="1"/>
    <w:qFormat/>
    <w:uiPriority w:val="0"/>
    <w:pPr>
      <w:widowControl/>
      <w:pBdr>
        <w:top w:val="single" w:color="auto" w:sz="4" w:space="0"/>
        <w:bottom w:val="single" w:color="auto" w:sz="4" w:space="0"/>
      </w:pBdr>
      <w:spacing w:before="100" w:beforeAutospacing="1" w:after="100" w:afterAutospacing="1"/>
      <w:jc w:val="left"/>
    </w:pPr>
    <w:rPr>
      <w:rFonts w:ascii="楷体_GB2312" w:hAnsi="宋体" w:eastAsia="楷体_GB2312" w:cs="宋体"/>
      <w:kern w:val="0"/>
      <w:sz w:val="24"/>
      <w:szCs w:val="24"/>
    </w:rPr>
  </w:style>
  <w:style w:type="paragraph" w:customStyle="1" w:styleId="111">
    <w:name w:val="xl107"/>
    <w:basedOn w:val="1"/>
    <w:qFormat/>
    <w:uiPriority w:val="0"/>
    <w:pPr>
      <w:widowControl/>
      <w:pBdr>
        <w:top w:val="single" w:color="auto" w:sz="4" w:space="0"/>
        <w:bottom w:val="single" w:color="auto" w:sz="4" w:space="0"/>
      </w:pBdr>
      <w:spacing w:before="100" w:beforeAutospacing="1" w:after="100" w:afterAutospacing="1"/>
      <w:jc w:val="left"/>
    </w:pPr>
    <w:rPr>
      <w:rFonts w:ascii="楷体_GB2312" w:hAnsi="宋体" w:eastAsia="楷体_GB2312" w:cs="宋体"/>
      <w:kern w:val="0"/>
      <w:sz w:val="24"/>
      <w:szCs w:val="24"/>
    </w:rPr>
  </w:style>
  <w:style w:type="paragraph" w:customStyle="1" w:styleId="112">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13">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4">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5">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6">
    <w:name w:val="xl112"/>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7">
    <w:name w:val="xl11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8">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9">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120">
    <w:name w:val="批注框文本 Char"/>
    <w:basedOn w:val="6"/>
    <w:link w:val="2"/>
    <w:semiHidden/>
    <w:qFormat/>
    <w:uiPriority w:val="99"/>
    <w:rPr>
      <w:sz w:val="18"/>
      <w:szCs w:val="18"/>
    </w:rPr>
  </w:style>
  <w:style w:type="paragraph" w:styleId="1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934</Words>
  <Characters>5326</Characters>
  <Lines>44</Lines>
  <Paragraphs>12</Paragraphs>
  <TotalTime>5</TotalTime>
  <ScaleCrop>false</ScaleCrop>
  <LinksUpToDate>false</LinksUpToDate>
  <CharactersWithSpaces>6248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2020-09-23T16:26:00Z</dcterms:created>
  <dc:creator>user</dc:creator>
  <cp:lastModifiedBy>admin</cp:lastModifiedBy>
  <cp:lastPrinted>2020-09-23T16:55:00Z</cp:lastPrinted>
  <dcterms:modified xsi:type="dcterms:W3CDTF">2024-05-15T15:31:48Z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