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20</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21</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29</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29</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30</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31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1566.11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1377.19</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77.36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66.62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69.00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1566.11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1592.17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26.06</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1592.17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1592.17</w:t>
            </w:r>
          </w:p>
        </w:tc>
      </w:tr>
    </w:tbl>
    <w:p>
      <w:pPr>
        <w:sectPr>
          <w:footerReference w:type="even" r:id="rId25"/>
          <w:footerReference w:type="default" r:id="rId26"/>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1592.17</w:t>
            </w:r>
          </w:p>
        </w:tc>
        <w:tc>
          <w:tcPr>
            <w:tcW w:w="1134" w:type="dxa"/>
            <w:vAlign w:val="center"/>
          </w:tcPr>
          <w:p>
            <w:pPr>
              <w:pStyle w:val="单元格样式7"/>
            </w:pPr>
            <w:r>
              <w:t xml:space="preserve">1566.11</w:t>
            </w:r>
          </w:p>
        </w:tc>
        <w:tc>
          <w:tcPr>
            <w:tcW w:w="1134" w:type="dxa"/>
            <w:vAlign w:val="center"/>
          </w:tcPr>
          <w:p>
            <w:pPr>
              <w:pStyle w:val="单元格样式7"/>
            </w:pPr>
            <w:r>
              <w:t xml:space="preserve">1566.11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26.06</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1377.19</w:t>
            </w:r>
          </w:p>
        </w:tc>
        <w:tc>
          <w:tcPr>
            <w:tcW w:w="1134" w:type="dxa"/>
            <w:vAlign w:val="center"/>
          </w:tcPr>
          <w:p>
            <w:pPr>
              <w:pStyle w:val="单元格样式4"/>
            </w:pPr>
            <w:r>
              <w:t xml:space="preserve">1351.13</w:t>
            </w:r>
          </w:p>
        </w:tc>
        <w:tc>
          <w:tcPr>
            <w:tcW w:w="1134" w:type="dxa"/>
            <w:vAlign w:val="center"/>
          </w:tcPr>
          <w:p>
            <w:pPr>
              <w:pStyle w:val="单元格样式4"/>
            </w:pPr>
            <w:r>
              <w:t xml:space="preserve">1351.13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26.06</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20404</w:t>
            </w:r>
          </w:p>
        </w:tc>
        <w:tc>
          <w:tcPr>
            <w:tcW w:w="1559" w:type="dxa"/>
            <w:vAlign w:val="center"/>
          </w:tcPr>
          <w:p>
            <w:pPr>
              <w:pStyle w:val="单元格样式2"/>
            </w:pPr>
            <w:r>
              <w:t xml:space="preserve">检察</w:t>
            </w:r>
          </w:p>
        </w:tc>
        <w:tc>
          <w:tcPr>
            <w:tcW w:w="1134" w:type="dxa"/>
            <w:vAlign w:val="center"/>
          </w:tcPr>
          <w:p>
            <w:pPr>
              <w:pStyle w:val="单元格样式4"/>
            </w:pPr>
            <w:r>
              <w:t xml:space="preserve">1377.19</w:t>
            </w:r>
          </w:p>
        </w:tc>
        <w:tc>
          <w:tcPr>
            <w:tcW w:w="1134" w:type="dxa"/>
            <w:vAlign w:val="center"/>
          </w:tcPr>
          <w:p>
            <w:pPr>
              <w:pStyle w:val="单元格样式4"/>
            </w:pPr>
            <w:r>
              <w:t xml:space="preserve">1351.13</w:t>
            </w:r>
          </w:p>
        </w:tc>
        <w:tc>
          <w:tcPr>
            <w:tcW w:w="1134" w:type="dxa"/>
            <w:vAlign w:val="center"/>
          </w:tcPr>
          <w:p>
            <w:pPr>
              <w:pStyle w:val="单元格样式4"/>
            </w:pPr>
            <w:r>
              <w:t xml:space="preserve">1351.13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26.06</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1351.13</w:t>
            </w:r>
          </w:p>
        </w:tc>
        <w:tc>
          <w:tcPr>
            <w:tcW w:w="1134" w:type="dxa"/>
            <w:vAlign w:val="center"/>
          </w:tcPr>
          <w:p>
            <w:pPr>
              <w:pStyle w:val="单元格样式4"/>
            </w:pPr>
            <w:r>
              <w:t xml:space="preserve">1351.13</w:t>
            </w:r>
          </w:p>
        </w:tc>
        <w:tc>
          <w:tcPr>
            <w:tcW w:w="1134" w:type="dxa"/>
            <w:vAlign w:val="center"/>
          </w:tcPr>
          <w:p>
            <w:pPr>
              <w:pStyle w:val="单元格样式4"/>
            </w:pPr>
            <w:r>
              <w:t xml:space="preserve">1351.13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2040499</w:t>
            </w:r>
          </w:p>
        </w:tc>
        <w:tc>
          <w:tcPr>
            <w:tcW w:w="1559" w:type="dxa"/>
            <w:vAlign w:val="center"/>
          </w:tcPr>
          <w:p>
            <w:pPr>
              <w:pStyle w:val="单元格样式2"/>
            </w:pPr>
            <w:r>
              <w:t xml:space="preserve">其他检察支出</w:t>
            </w:r>
          </w:p>
        </w:tc>
        <w:tc>
          <w:tcPr>
            <w:tcW w:w="1134" w:type="dxa"/>
            <w:vAlign w:val="center"/>
          </w:tcPr>
          <w:p>
            <w:pPr>
              <w:pStyle w:val="单元格样式4"/>
            </w:pPr>
            <w:r>
              <w:t xml:space="preserve">26.06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26.06</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2050803</w:t>
            </w:r>
          </w:p>
        </w:tc>
        <w:tc>
          <w:tcPr>
            <w:tcW w:w="1559" w:type="dxa"/>
            <w:vAlign w:val="center"/>
          </w:tcPr>
          <w:p>
            <w:pPr>
              <w:pStyle w:val="单元格样式2"/>
            </w:pPr>
            <w:r>
              <w:t xml:space="preserve">培训支出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66.62</w:t>
            </w:r>
          </w:p>
        </w:tc>
        <w:tc>
          <w:tcPr>
            <w:tcW w:w="1134" w:type="dxa"/>
            <w:vAlign w:val="center"/>
          </w:tcPr>
          <w:p>
            <w:pPr>
              <w:pStyle w:val="单元格样式4"/>
            </w:pPr>
            <w:r>
              <w:t xml:space="preserve">66.62</w:t>
            </w:r>
          </w:p>
        </w:tc>
        <w:tc>
          <w:tcPr>
            <w:tcW w:w="1134" w:type="dxa"/>
            <w:vAlign w:val="center"/>
          </w:tcPr>
          <w:p>
            <w:pPr>
              <w:pStyle w:val="单元格样式4"/>
            </w:pPr>
            <w:r>
              <w:t xml:space="preserve">66.62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66.62</w:t>
            </w:r>
          </w:p>
        </w:tc>
        <w:tc>
          <w:tcPr>
            <w:tcW w:w="1134" w:type="dxa"/>
            <w:vAlign w:val="center"/>
          </w:tcPr>
          <w:p>
            <w:pPr>
              <w:pStyle w:val="单元格样式4"/>
            </w:pPr>
            <w:r>
              <w:t xml:space="preserve">66.62</w:t>
            </w:r>
          </w:p>
        </w:tc>
        <w:tc>
          <w:tcPr>
            <w:tcW w:w="1134" w:type="dxa"/>
            <w:vAlign w:val="center"/>
          </w:tcPr>
          <w:p>
            <w:pPr>
              <w:pStyle w:val="单元格样式4"/>
            </w:pPr>
            <w:r>
              <w:t xml:space="preserve">66.62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31.67</w:t>
            </w:r>
          </w:p>
        </w:tc>
        <w:tc>
          <w:tcPr>
            <w:tcW w:w="1134" w:type="dxa"/>
            <w:vAlign w:val="center"/>
          </w:tcPr>
          <w:p>
            <w:pPr>
              <w:pStyle w:val="单元格样式4"/>
            </w:pPr>
            <w:r>
              <w:t xml:space="preserve">31.67</w:t>
            </w:r>
          </w:p>
        </w:tc>
        <w:tc>
          <w:tcPr>
            <w:tcW w:w="1134" w:type="dxa"/>
            <w:vAlign w:val="center"/>
          </w:tcPr>
          <w:p>
            <w:pPr>
              <w:pStyle w:val="单元格样式4"/>
            </w:pPr>
            <w:r>
              <w:t xml:space="preserve">31.67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34.95</w:t>
            </w:r>
          </w:p>
        </w:tc>
        <w:tc>
          <w:tcPr>
            <w:tcW w:w="1134" w:type="dxa"/>
            <w:vAlign w:val="center"/>
          </w:tcPr>
          <w:p>
            <w:pPr>
              <w:pStyle w:val="单元格样式4"/>
            </w:pPr>
            <w:r>
              <w:t xml:space="preserve">34.95</w:t>
            </w:r>
          </w:p>
        </w:tc>
        <w:tc>
          <w:tcPr>
            <w:tcW w:w="1134" w:type="dxa"/>
            <w:vAlign w:val="center"/>
          </w:tcPr>
          <w:p>
            <w:pPr>
              <w:pStyle w:val="单元格样式4"/>
            </w:pPr>
            <w:r>
              <w:t xml:space="preserve">34.95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1592.17</w:t>
            </w:r>
          </w:p>
        </w:tc>
        <w:tc>
          <w:tcPr>
            <w:tcW w:w="1361" w:type="dxa"/>
            <w:vAlign w:val="center"/>
          </w:tcPr>
          <w:p>
            <w:pPr>
              <w:pStyle w:val="单元格样式7"/>
            </w:pPr>
            <w:r>
              <w:t xml:space="preserve">1433.52</w:t>
            </w:r>
          </w:p>
        </w:tc>
        <w:tc>
          <w:tcPr>
            <w:tcW w:w="1361" w:type="dxa"/>
            <w:vAlign w:val="center"/>
          </w:tcPr>
          <w:p>
            <w:pPr>
              <w:pStyle w:val="单元格样式7"/>
            </w:pPr>
            <w:r>
              <w:t xml:space="preserve">158.65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1377.19</w:t>
            </w:r>
          </w:p>
        </w:tc>
        <w:tc>
          <w:tcPr>
            <w:tcW w:w="1361" w:type="dxa"/>
            <w:vAlign w:val="center"/>
          </w:tcPr>
          <w:p>
            <w:pPr>
              <w:pStyle w:val="单元格样式4"/>
            </w:pPr>
            <w:r>
              <w:t xml:space="preserve">1218.54</w:t>
            </w:r>
          </w:p>
        </w:tc>
        <w:tc>
          <w:tcPr>
            <w:tcW w:w="1361" w:type="dxa"/>
            <w:vAlign w:val="center"/>
          </w:tcPr>
          <w:p>
            <w:pPr>
              <w:pStyle w:val="单元格样式4"/>
            </w:pPr>
            <w:r>
              <w:t xml:space="preserve">158.65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20404</w:t>
            </w:r>
          </w:p>
        </w:tc>
        <w:tc>
          <w:tcPr>
            <w:tcW w:w="4535" w:type="dxa"/>
            <w:vAlign w:val="center"/>
          </w:tcPr>
          <w:p>
            <w:pPr>
              <w:pStyle w:val="单元格样式2"/>
            </w:pPr>
            <w:r>
              <w:t xml:space="preserve">检察</w:t>
            </w:r>
          </w:p>
        </w:tc>
        <w:tc>
          <w:tcPr>
            <w:tcW w:w="1361" w:type="dxa"/>
            <w:vAlign w:val="center"/>
          </w:tcPr>
          <w:p>
            <w:pPr>
              <w:pStyle w:val="单元格样式4"/>
            </w:pPr>
            <w:r>
              <w:t xml:space="preserve">1377.19</w:t>
            </w:r>
          </w:p>
        </w:tc>
        <w:tc>
          <w:tcPr>
            <w:tcW w:w="1361" w:type="dxa"/>
            <w:vAlign w:val="center"/>
          </w:tcPr>
          <w:p>
            <w:pPr>
              <w:pStyle w:val="单元格样式4"/>
            </w:pPr>
            <w:r>
              <w:t xml:space="preserve">1218.54</w:t>
            </w:r>
          </w:p>
        </w:tc>
        <w:tc>
          <w:tcPr>
            <w:tcW w:w="1361" w:type="dxa"/>
            <w:vAlign w:val="center"/>
          </w:tcPr>
          <w:p>
            <w:pPr>
              <w:pStyle w:val="单元格样式4"/>
            </w:pPr>
            <w:r>
              <w:t xml:space="preserve">158.65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1351.13</w:t>
            </w:r>
          </w:p>
        </w:tc>
        <w:tc>
          <w:tcPr>
            <w:tcW w:w="1361" w:type="dxa"/>
            <w:vAlign w:val="center"/>
          </w:tcPr>
          <w:p>
            <w:pPr>
              <w:pStyle w:val="单元格样式4"/>
            </w:pPr>
            <w:r>
              <w:t xml:space="preserve">1218.54</w:t>
            </w:r>
          </w:p>
        </w:tc>
        <w:tc>
          <w:tcPr>
            <w:tcW w:w="1361" w:type="dxa"/>
            <w:vAlign w:val="center"/>
          </w:tcPr>
          <w:p>
            <w:pPr>
              <w:pStyle w:val="单元格样式4"/>
            </w:pPr>
            <w:r>
              <w:t xml:space="preserve">132.59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2040499</w:t>
            </w:r>
          </w:p>
        </w:tc>
        <w:tc>
          <w:tcPr>
            <w:tcW w:w="4535" w:type="dxa"/>
            <w:vAlign w:val="center"/>
          </w:tcPr>
          <w:p>
            <w:pPr>
              <w:pStyle w:val="单元格样式2"/>
            </w:pPr>
            <w:r>
              <w:t xml:space="preserve">其他检察支出</w:t>
            </w:r>
          </w:p>
        </w:tc>
        <w:tc>
          <w:tcPr>
            <w:tcW w:w="1361" w:type="dxa"/>
            <w:vAlign w:val="center"/>
          </w:tcPr>
          <w:p>
            <w:pPr>
              <w:pStyle w:val="单元格样式4"/>
            </w:pPr>
            <w:r>
              <w:t xml:space="preserve">26.06</w:t>
            </w:r>
          </w:p>
        </w:tc>
        <w:tc>
          <w:tcPr>
            <w:tcW w:w="1361" w:type="dxa"/>
            <w:vAlign w:val="center"/>
          </w:tcPr>
          <w:p>
            <w:pPr>
              <w:pStyle w:val="单元格样式4"/>
            </w:pPr>
          </w:p>
        </w:tc>
        <w:tc>
          <w:tcPr>
            <w:tcW w:w="1361" w:type="dxa"/>
            <w:vAlign w:val="center"/>
          </w:tcPr>
          <w:p>
            <w:pPr>
              <w:pStyle w:val="单元格样式4"/>
            </w:pPr>
            <w:r>
              <w:t xml:space="preserve">26.06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2.00</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2.00</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1361" w:type="dxa"/>
            <w:vAlign w:val="center"/>
          </w:tcPr>
          <w:p>
            <w:pPr>
              <w:pStyle w:val="单元格样式4"/>
            </w:pPr>
            <w:r>
              <w:t xml:space="preserve">2.00</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77.36</w:t>
            </w:r>
          </w:p>
        </w:tc>
        <w:tc>
          <w:tcPr>
            <w:tcW w:w="1361" w:type="dxa"/>
            <w:vAlign w:val="center"/>
          </w:tcPr>
          <w:p>
            <w:pPr>
              <w:pStyle w:val="单元格样式4"/>
            </w:pPr>
            <w:r>
              <w:t xml:space="preserve">77.36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77.36</w:t>
            </w:r>
          </w:p>
        </w:tc>
        <w:tc>
          <w:tcPr>
            <w:tcW w:w="1361" w:type="dxa"/>
            <w:vAlign w:val="center"/>
          </w:tcPr>
          <w:p>
            <w:pPr>
              <w:pStyle w:val="单元格样式4"/>
            </w:pPr>
            <w:r>
              <w:t xml:space="preserve">77.36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77.36</w:t>
            </w:r>
          </w:p>
        </w:tc>
        <w:tc>
          <w:tcPr>
            <w:tcW w:w="1361" w:type="dxa"/>
            <w:vAlign w:val="center"/>
          </w:tcPr>
          <w:p>
            <w:pPr>
              <w:pStyle w:val="单元格样式4"/>
            </w:pPr>
            <w:r>
              <w:t xml:space="preserve">77.36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66.62</w:t>
            </w:r>
          </w:p>
        </w:tc>
        <w:tc>
          <w:tcPr>
            <w:tcW w:w="1361" w:type="dxa"/>
            <w:vAlign w:val="center"/>
          </w:tcPr>
          <w:p>
            <w:pPr>
              <w:pStyle w:val="单元格样式4"/>
            </w:pPr>
            <w:r>
              <w:t xml:space="preserve">66.62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66.62</w:t>
            </w:r>
          </w:p>
        </w:tc>
        <w:tc>
          <w:tcPr>
            <w:tcW w:w="1361" w:type="dxa"/>
            <w:vAlign w:val="center"/>
          </w:tcPr>
          <w:p>
            <w:pPr>
              <w:pStyle w:val="单元格样式4"/>
            </w:pPr>
            <w:r>
              <w:t xml:space="preserve">66.62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31.67</w:t>
            </w:r>
          </w:p>
        </w:tc>
        <w:tc>
          <w:tcPr>
            <w:tcW w:w="1361" w:type="dxa"/>
            <w:vAlign w:val="center"/>
          </w:tcPr>
          <w:p>
            <w:pPr>
              <w:pStyle w:val="单元格样式4"/>
            </w:pPr>
            <w:r>
              <w:t xml:space="preserve">31.67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34.95</w:t>
            </w:r>
          </w:p>
        </w:tc>
        <w:tc>
          <w:tcPr>
            <w:tcW w:w="1361" w:type="dxa"/>
            <w:vAlign w:val="center"/>
          </w:tcPr>
          <w:p>
            <w:pPr>
              <w:pStyle w:val="单元格样式4"/>
            </w:pPr>
            <w:r>
              <w:t xml:space="preserve">34.95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69.00</w:t>
            </w: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69.00</w:t>
            </w: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69.00</w:t>
            </w: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1566.11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1377.19</w:t>
            </w:r>
          </w:p>
        </w:tc>
        <w:tc>
          <w:tcPr>
            <w:tcW w:w="1474" w:type="dxa"/>
            <w:vAlign w:val="center"/>
          </w:tcPr>
          <w:p>
            <w:pPr>
              <w:pStyle w:val="单元格样式4"/>
            </w:pPr>
            <w:r>
              <w:t xml:space="preserve">1377.19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2.00</w:t>
            </w:r>
          </w:p>
        </w:tc>
        <w:tc>
          <w:tcPr>
            <w:tcW w:w="1474" w:type="dxa"/>
            <w:vAlign w:val="center"/>
          </w:tcPr>
          <w:p>
            <w:pPr>
              <w:pStyle w:val="单元格样式4"/>
            </w:pPr>
            <w:r>
              <w:t xml:space="preserve">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77.36</w:t>
            </w:r>
          </w:p>
        </w:tc>
        <w:tc>
          <w:tcPr>
            <w:tcW w:w="1474" w:type="dxa"/>
            <w:vAlign w:val="center"/>
          </w:tcPr>
          <w:p>
            <w:pPr>
              <w:pStyle w:val="单元格样式4"/>
            </w:pPr>
            <w:r>
              <w:t xml:space="preserve">77.36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66.62</w:t>
            </w:r>
          </w:p>
        </w:tc>
        <w:tc>
          <w:tcPr>
            <w:tcW w:w="1474" w:type="dxa"/>
            <w:vAlign w:val="center"/>
          </w:tcPr>
          <w:p>
            <w:pPr>
              <w:pStyle w:val="单元格样式4"/>
            </w:pPr>
            <w:r>
              <w:t xml:space="preserve">66.62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69.00</w:t>
            </w:r>
          </w:p>
        </w:tc>
        <w:tc>
          <w:tcPr>
            <w:tcW w:w="1474" w:type="dxa"/>
            <w:vAlign w:val="center"/>
          </w:tcPr>
          <w:p>
            <w:pPr>
              <w:pStyle w:val="单元格样式4"/>
            </w:pPr>
            <w:r>
              <w:t xml:space="preserve">69.00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1566.11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1592.17</w:t>
            </w:r>
          </w:p>
        </w:tc>
        <w:tc>
          <w:tcPr>
            <w:tcW w:w="1474" w:type="dxa"/>
            <w:vAlign w:val="center"/>
          </w:tcPr>
          <w:p>
            <w:pPr>
              <w:pStyle w:val="单元格样式7"/>
            </w:pPr>
            <w:r>
              <w:t xml:space="preserve">1592.17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26.06</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26.06</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1592.17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1592.17</w:t>
            </w:r>
          </w:p>
        </w:tc>
        <w:tc>
          <w:tcPr>
            <w:tcW w:w="1474" w:type="dxa"/>
            <w:vAlign w:val="center"/>
          </w:tcPr>
          <w:p>
            <w:pPr>
              <w:pStyle w:val="单元格样式7"/>
            </w:pPr>
            <w:r>
              <w:t xml:space="preserve">1592.17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1592.17</w:t>
            </w:r>
          </w:p>
        </w:tc>
        <w:tc>
          <w:tcPr>
            <w:tcW w:w="2551" w:type="dxa"/>
            <w:vAlign w:val="center"/>
          </w:tcPr>
          <w:p>
            <w:pPr>
              <w:pStyle w:val="单元格样式7"/>
            </w:pPr>
            <w:r>
              <w:t xml:space="preserve">1433.52</w:t>
            </w:r>
          </w:p>
        </w:tc>
        <w:tc>
          <w:tcPr>
            <w:tcW w:w="2551" w:type="dxa"/>
            <w:vAlign w:val="center"/>
          </w:tcPr>
          <w:p>
            <w:pPr>
              <w:pStyle w:val="单元格样式7"/>
            </w:pPr>
            <w:r>
              <w:t xml:space="preserve">158.65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1377.19</w:t>
            </w:r>
          </w:p>
        </w:tc>
        <w:tc>
          <w:tcPr>
            <w:tcW w:w="2551" w:type="dxa"/>
            <w:vAlign w:val="center"/>
          </w:tcPr>
          <w:p>
            <w:pPr>
              <w:pStyle w:val="单元格样式4"/>
            </w:pPr>
            <w:r>
              <w:t xml:space="preserve">1218.54</w:t>
            </w:r>
          </w:p>
        </w:tc>
        <w:tc>
          <w:tcPr>
            <w:tcW w:w="2551" w:type="dxa"/>
            <w:vAlign w:val="center"/>
          </w:tcPr>
          <w:p>
            <w:pPr>
              <w:pStyle w:val="单元格样式4"/>
            </w:pPr>
            <w:r>
              <w:t xml:space="preserve">158.65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20404</w:t>
            </w:r>
          </w:p>
        </w:tc>
        <w:tc>
          <w:tcPr>
            <w:tcW w:w="4535" w:type="dxa"/>
            <w:vAlign w:val="center"/>
          </w:tcPr>
          <w:p>
            <w:pPr>
              <w:pStyle w:val="单元格样式2"/>
            </w:pPr>
            <w:r>
              <w:t xml:space="preserve">检察</w:t>
            </w:r>
          </w:p>
        </w:tc>
        <w:tc>
          <w:tcPr>
            <w:tcW w:w="2551" w:type="dxa"/>
            <w:vAlign w:val="center"/>
          </w:tcPr>
          <w:p>
            <w:pPr>
              <w:pStyle w:val="单元格样式4"/>
            </w:pPr>
            <w:r>
              <w:t xml:space="preserve">1377.19</w:t>
            </w:r>
          </w:p>
        </w:tc>
        <w:tc>
          <w:tcPr>
            <w:tcW w:w="2551" w:type="dxa"/>
            <w:vAlign w:val="center"/>
          </w:tcPr>
          <w:p>
            <w:pPr>
              <w:pStyle w:val="单元格样式4"/>
            </w:pPr>
            <w:r>
              <w:t xml:space="preserve">1218.54</w:t>
            </w:r>
          </w:p>
        </w:tc>
        <w:tc>
          <w:tcPr>
            <w:tcW w:w="2551" w:type="dxa"/>
            <w:vAlign w:val="center"/>
          </w:tcPr>
          <w:p>
            <w:pPr>
              <w:pStyle w:val="单元格样式4"/>
            </w:pPr>
            <w:r>
              <w:t xml:space="preserve">158.65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1351.13</w:t>
            </w:r>
          </w:p>
        </w:tc>
        <w:tc>
          <w:tcPr>
            <w:tcW w:w="2551" w:type="dxa"/>
            <w:vAlign w:val="center"/>
          </w:tcPr>
          <w:p>
            <w:pPr>
              <w:pStyle w:val="单元格样式4"/>
            </w:pPr>
            <w:r>
              <w:t xml:space="preserve">1218.54</w:t>
            </w:r>
          </w:p>
        </w:tc>
        <w:tc>
          <w:tcPr>
            <w:tcW w:w="2551" w:type="dxa"/>
            <w:vAlign w:val="center"/>
          </w:tcPr>
          <w:p>
            <w:pPr>
              <w:pStyle w:val="单元格样式4"/>
            </w:pPr>
            <w:r>
              <w:t xml:space="preserve">132.59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2040499</w:t>
            </w:r>
          </w:p>
        </w:tc>
        <w:tc>
          <w:tcPr>
            <w:tcW w:w="4535" w:type="dxa"/>
            <w:vAlign w:val="center"/>
          </w:tcPr>
          <w:p>
            <w:pPr>
              <w:pStyle w:val="单元格样式2"/>
            </w:pPr>
            <w:r>
              <w:t xml:space="preserve">其他检察支出</w:t>
            </w:r>
          </w:p>
        </w:tc>
        <w:tc>
          <w:tcPr>
            <w:tcW w:w="2551" w:type="dxa"/>
            <w:vAlign w:val="center"/>
          </w:tcPr>
          <w:p>
            <w:pPr>
              <w:pStyle w:val="单元格样式4"/>
            </w:pPr>
            <w:r>
              <w:t xml:space="preserve">26.06</w:t>
            </w:r>
          </w:p>
        </w:tc>
        <w:tc>
          <w:tcPr>
            <w:tcW w:w="2551" w:type="dxa"/>
            <w:vAlign w:val="center"/>
          </w:tcPr>
          <w:p>
            <w:pPr>
              <w:pStyle w:val="单元格样式4"/>
            </w:pPr>
          </w:p>
        </w:tc>
        <w:tc>
          <w:tcPr>
            <w:tcW w:w="2551" w:type="dxa"/>
            <w:vAlign w:val="center"/>
          </w:tcPr>
          <w:p>
            <w:pPr>
              <w:pStyle w:val="单元格样式4"/>
            </w:pPr>
            <w:r>
              <w:t xml:space="preserve">26.06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2.00</w:t>
            </w:r>
          </w:p>
        </w:tc>
        <w:tc>
          <w:tcPr>
            <w:tcW w:w="2551" w:type="dxa"/>
            <w:vAlign w:val="center"/>
          </w:tcPr>
          <w:p>
            <w:pPr>
              <w:pStyle w:val="单元格样式4"/>
            </w:pPr>
            <w:r>
              <w:t xml:space="preserve">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2.00</w:t>
            </w:r>
          </w:p>
        </w:tc>
        <w:tc>
          <w:tcPr>
            <w:tcW w:w="2551" w:type="dxa"/>
            <w:vAlign w:val="center"/>
          </w:tcPr>
          <w:p>
            <w:pPr>
              <w:pStyle w:val="单元格样式4"/>
            </w:pPr>
            <w:r>
              <w:t xml:space="preserve">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2551" w:type="dxa"/>
            <w:vAlign w:val="center"/>
          </w:tcPr>
          <w:p>
            <w:pPr>
              <w:pStyle w:val="单元格样式4"/>
            </w:pPr>
            <w:r>
              <w:t xml:space="preserve">2.00</w:t>
            </w:r>
          </w:p>
        </w:tc>
        <w:tc>
          <w:tcPr>
            <w:tcW w:w="2551" w:type="dxa"/>
            <w:vAlign w:val="center"/>
          </w:tcPr>
          <w:p>
            <w:pPr>
              <w:pStyle w:val="单元格样式4"/>
            </w:pPr>
            <w:r>
              <w:t xml:space="preserve">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66.62</w:t>
            </w:r>
          </w:p>
        </w:tc>
        <w:tc>
          <w:tcPr>
            <w:tcW w:w="2551" w:type="dxa"/>
            <w:vAlign w:val="center"/>
          </w:tcPr>
          <w:p>
            <w:pPr>
              <w:pStyle w:val="单元格样式4"/>
            </w:pPr>
            <w:r>
              <w:t xml:space="preserve">66.62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66.62</w:t>
            </w:r>
          </w:p>
        </w:tc>
        <w:tc>
          <w:tcPr>
            <w:tcW w:w="2551" w:type="dxa"/>
            <w:vAlign w:val="center"/>
          </w:tcPr>
          <w:p>
            <w:pPr>
              <w:pStyle w:val="单元格样式4"/>
            </w:pPr>
            <w:r>
              <w:t xml:space="preserve">66.62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31.67</w:t>
            </w:r>
          </w:p>
        </w:tc>
        <w:tc>
          <w:tcPr>
            <w:tcW w:w="2551" w:type="dxa"/>
            <w:vAlign w:val="center"/>
          </w:tcPr>
          <w:p>
            <w:pPr>
              <w:pStyle w:val="单元格样式4"/>
            </w:pPr>
            <w:r>
              <w:t xml:space="preserve">31.67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34.95</w:t>
            </w:r>
          </w:p>
        </w:tc>
        <w:tc>
          <w:tcPr>
            <w:tcW w:w="2551" w:type="dxa"/>
            <w:vAlign w:val="center"/>
          </w:tcPr>
          <w:p>
            <w:pPr>
              <w:pStyle w:val="单元格样式4"/>
            </w:pPr>
            <w:r>
              <w:t xml:space="preserve">34.95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69.00</w:t>
            </w:r>
          </w:p>
        </w:tc>
        <w:tc>
          <w:tcPr>
            <w:tcW w:w="2551" w:type="dxa"/>
            <w:vAlign w:val="center"/>
          </w:tcPr>
          <w:p>
            <w:pPr>
              <w:pStyle w:val="单元格样式4"/>
            </w:pPr>
            <w:r>
              <w:t xml:space="preserve">69.00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69.00</w:t>
            </w:r>
          </w:p>
        </w:tc>
        <w:tc>
          <w:tcPr>
            <w:tcW w:w="2551" w:type="dxa"/>
            <w:vAlign w:val="center"/>
          </w:tcPr>
          <w:p>
            <w:pPr>
              <w:pStyle w:val="单元格样式4"/>
            </w:pPr>
            <w:r>
              <w:t xml:space="preserve">69.00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69.00</w:t>
            </w:r>
          </w:p>
        </w:tc>
        <w:tc>
          <w:tcPr>
            <w:tcW w:w="2551" w:type="dxa"/>
            <w:vAlign w:val="center"/>
          </w:tcPr>
          <w:p>
            <w:pPr>
              <w:pStyle w:val="单元格样式4"/>
            </w:pPr>
            <w:r>
              <w:t xml:space="preserve">69.00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1433.52</w:t>
            </w:r>
          </w:p>
        </w:tc>
        <w:tc>
          <w:tcPr>
            <w:tcW w:w="2551" w:type="dxa"/>
            <w:vAlign w:val="center"/>
          </w:tcPr>
          <w:p>
            <w:pPr>
              <w:pStyle w:val="单元格样式7"/>
            </w:pPr>
            <w:r>
              <w:t xml:space="preserve">1297.09</w:t>
            </w:r>
          </w:p>
        </w:tc>
        <w:tc>
          <w:tcPr>
            <w:tcW w:w="2551" w:type="dxa"/>
            <w:vAlign w:val="center"/>
          </w:tcPr>
          <w:p>
            <w:pPr>
              <w:pStyle w:val="单元格样式7"/>
            </w:pPr>
            <w:r>
              <w:t xml:space="preserve">136.43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1163.57</w:t>
            </w:r>
          </w:p>
        </w:tc>
        <w:tc>
          <w:tcPr>
            <w:tcW w:w="2551" w:type="dxa"/>
            <w:vAlign w:val="center"/>
          </w:tcPr>
          <w:p>
            <w:pPr>
              <w:pStyle w:val="单元格样式4"/>
            </w:pPr>
            <w:r>
              <w:t xml:space="preserve">1163.57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219.52</w:t>
            </w:r>
          </w:p>
        </w:tc>
        <w:tc>
          <w:tcPr>
            <w:tcW w:w="2551" w:type="dxa"/>
            <w:vAlign w:val="center"/>
          </w:tcPr>
          <w:p>
            <w:pPr>
              <w:pStyle w:val="单元格样式4"/>
            </w:pPr>
            <w:r>
              <w:t xml:space="preserve">219.52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252.96</w:t>
            </w:r>
          </w:p>
        </w:tc>
        <w:tc>
          <w:tcPr>
            <w:tcW w:w="2551" w:type="dxa"/>
            <w:vAlign w:val="center"/>
          </w:tcPr>
          <w:p>
            <w:pPr>
              <w:pStyle w:val="单元格样式4"/>
            </w:pPr>
            <w:r>
              <w:t xml:space="preserve">252.96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198.35</w:t>
            </w:r>
          </w:p>
        </w:tc>
        <w:tc>
          <w:tcPr>
            <w:tcW w:w="2551" w:type="dxa"/>
            <w:vAlign w:val="center"/>
          </w:tcPr>
          <w:p>
            <w:pPr>
              <w:pStyle w:val="单元格样式4"/>
            </w:pPr>
            <w:r>
              <w:t xml:space="preserve">198.35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31.67</w:t>
            </w:r>
          </w:p>
        </w:tc>
        <w:tc>
          <w:tcPr>
            <w:tcW w:w="2551" w:type="dxa"/>
            <w:vAlign w:val="center"/>
          </w:tcPr>
          <w:p>
            <w:pPr>
              <w:pStyle w:val="单元格样式4"/>
            </w:pPr>
            <w:r>
              <w:t xml:space="preserve">31.67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34.95</w:t>
            </w:r>
          </w:p>
        </w:tc>
        <w:tc>
          <w:tcPr>
            <w:tcW w:w="2551" w:type="dxa"/>
            <w:vAlign w:val="center"/>
          </w:tcPr>
          <w:p>
            <w:pPr>
              <w:pStyle w:val="单元格样式4"/>
            </w:pPr>
            <w:r>
              <w:t xml:space="preserve">34.95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2.43</w:t>
            </w:r>
          </w:p>
        </w:tc>
        <w:tc>
          <w:tcPr>
            <w:tcW w:w="2551" w:type="dxa"/>
            <w:vAlign w:val="center"/>
          </w:tcPr>
          <w:p>
            <w:pPr>
              <w:pStyle w:val="单元格样式4"/>
            </w:pPr>
            <w:r>
              <w:t xml:space="preserve">2.43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69.00</w:t>
            </w:r>
          </w:p>
        </w:tc>
        <w:tc>
          <w:tcPr>
            <w:tcW w:w="2551" w:type="dxa"/>
            <w:vAlign w:val="center"/>
          </w:tcPr>
          <w:p>
            <w:pPr>
              <w:pStyle w:val="单元格样式4"/>
            </w:pPr>
            <w:r>
              <w:t xml:space="preserve">69.00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277.33</w:t>
            </w:r>
          </w:p>
        </w:tc>
        <w:tc>
          <w:tcPr>
            <w:tcW w:w="2551" w:type="dxa"/>
            <w:vAlign w:val="center"/>
          </w:tcPr>
          <w:p>
            <w:pPr>
              <w:pStyle w:val="单元格样式4"/>
            </w:pPr>
            <w:r>
              <w:t xml:space="preserve">277.33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136.43</w:t>
            </w:r>
          </w:p>
        </w:tc>
        <w:tc>
          <w:tcPr>
            <w:tcW w:w="2551" w:type="dxa"/>
            <w:vAlign w:val="center"/>
          </w:tcPr>
          <w:p>
            <w:pPr>
              <w:pStyle w:val="单元格样式4"/>
            </w:pPr>
          </w:p>
        </w:tc>
        <w:tc>
          <w:tcPr>
            <w:tcW w:w="2551" w:type="dxa"/>
            <w:vAlign w:val="center"/>
          </w:tcPr>
          <w:p>
            <w:pPr>
              <w:pStyle w:val="单元格样式4"/>
            </w:pPr>
            <w:r>
              <w:t xml:space="preserve">136.43</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28.43</w:t>
            </w:r>
          </w:p>
        </w:tc>
        <w:tc>
          <w:tcPr>
            <w:tcW w:w="2551" w:type="dxa"/>
            <w:vAlign w:val="center"/>
          </w:tcPr>
          <w:p>
            <w:pPr>
              <w:pStyle w:val="单元格样式4"/>
            </w:pPr>
          </w:p>
        </w:tc>
        <w:tc>
          <w:tcPr>
            <w:tcW w:w="2551" w:type="dxa"/>
            <w:vAlign w:val="center"/>
          </w:tcPr>
          <w:p>
            <w:pPr>
              <w:pStyle w:val="单元格样式4"/>
            </w:pPr>
            <w:r>
              <w:t xml:space="preserve">28.43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11.14</w:t>
            </w:r>
          </w:p>
        </w:tc>
        <w:tc>
          <w:tcPr>
            <w:tcW w:w="2551" w:type="dxa"/>
            <w:vAlign w:val="center"/>
          </w:tcPr>
          <w:p>
            <w:pPr>
              <w:pStyle w:val="单元格样式4"/>
            </w:pPr>
          </w:p>
        </w:tc>
        <w:tc>
          <w:tcPr>
            <w:tcW w:w="2551" w:type="dxa"/>
            <w:vAlign w:val="center"/>
          </w:tcPr>
          <w:p>
            <w:pPr>
              <w:pStyle w:val="单元格样式4"/>
            </w:pPr>
            <w:r>
              <w:t xml:space="preserve">11.14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6.89</w:t>
            </w:r>
          </w:p>
        </w:tc>
        <w:tc>
          <w:tcPr>
            <w:tcW w:w="2551" w:type="dxa"/>
            <w:vAlign w:val="center"/>
          </w:tcPr>
          <w:p>
            <w:pPr>
              <w:pStyle w:val="单元格样式4"/>
            </w:pPr>
          </w:p>
        </w:tc>
        <w:tc>
          <w:tcPr>
            <w:tcW w:w="2551" w:type="dxa"/>
            <w:vAlign w:val="center"/>
          </w:tcPr>
          <w:p>
            <w:pPr>
              <w:pStyle w:val="单元格样式4"/>
            </w:pPr>
            <w:r>
              <w:t xml:space="preserve">6.89</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1.24</w:t>
            </w:r>
          </w:p>
        </w:tc>
        <w:tc>
          <w:tcPr>
            <w:tcW w:w="2551" w:type="dxa"/>
            <w:vAlign w:val="center"/>
          </w:tcPr>
          <w:p>
            <w:pPr>
              <w:pStyle w:val="单元格样式4"/>
            </w:pPr>
          </w:p>
        </w:tc>
        <w:tc>
          <w:tcPr>
            <w:tcW w:w="2551" w:type="dxa"/>
            <w:vAlign w:val="center"/>
          </w:tcPr>
          <w:p>
            <w:pPr>
              <w:pStyle w:val="单元格样式4"/>
            </w:pPr>
            <w:r>
              <w:t xml:space="preserve">1.24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7.68</w:t>
            </w:r>
          </w:p>
        </w:tc>
        <w:tc>
          <w:tcPr>
            <w:tcW w:w="2551" w:type="dxa"/>
            <w:vAlign w:val="center"/>
          </w:tcPr>
          <w:p>
            <w:pPr>
              <w:pStyle w:val="单元格样式4"/>
            </w:pPr>
          </w:p>
        </w:tc>
        <w:tc>
          <w:tcPr>
            <w:tcW w:w="2551" w:type="dxa"/>
            <w:vAlign w:val="center"/>
          </w:tcPr>
          <w:p>
            <w:pPr>
              <w:pStyle w:val="单元格样式4"/>
            </w:pPr>
            <w:r>
              <w:t xml:space="preserve">7.68</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5.49</w:t>
            </w:r>
          </w:p>
        </w:tc>
        <w:tc>
          <w:tcPr>
            <w:tcW w:w="2551" w:type="dxa"/>
            <w:vAlign w:val="center"/>
          </w:tcPr>
          <w:p>
            <w:pPr>
              <w:pStyle w:val="单元格样式4"/>
            </w:pPr>
          </w:p>
        </w:tc>
        <w:tc>
          <w:tcPr>
            <w:tcW w:w="2551" w:type="dxa"/>
            <w:vAlign w:val="center"/>
          </w:tcPr>
          <w:p>
            <w:pPr>
              <w:pStyle w:val="单元格样式4"/>
            </w:pPr>
            <w:r>
              <w:t xml:space="preserve">5.49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2.29</w:t>
            </w:r>
          </w:p>
        </w:tc>
        <w:tc>
          <w:tcPr>
            <w:tcW w:w="2551" w:type="dxa"/>
            <w:vAlign w:val="center"/>
          </w:tcPr>
          <w:p>
            <w:pPr>
              <w:pStyle w:val="单元格样式4"/>
            </w:pPr>
          </w:p>
        </w:tc>
        <w:tc>
          <w:tcPr>
            <w:tcW w:w="2551" w:type="dxa"/>
            <w:vAlign w:val="center"/>
          </w:tcPr>
          <w:p>
            <w:pPr>
              <w:pStyle w:val="单元格样式4"/>
            </w:pPr>
            <w:r>
              <w:t xml:space="preserve">2.29</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32.45</w:t>
            </w:r>
          </w:p>
        </w:tc>
        <w:tc>
          <w:tcPr>
            <w:tcW w:w="2551" w:type="dxa"/>
            <w:vAlign w:val="center"/>
          </w:tcPr>
          <w:p>
            <w:pPr>
              <w:pStyle w:val="单元格样式4"/>
            </w:pPr>
          </w:p>
        </w:tc>
        <w:tc>
          <w:tcPr>
            <w:tcW w:w="2551" w:type="dxa"/>
            <w:vAlign w:val="center"/>
          </w:tcPr>
          <w:p>
            <w:pPr>
              <w:pStyle w:val="单元格样式4"/>
            </w:pPr>
            <w:r>
              <w:t xml:space="preserve">32.45</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11.82</w:t>
            </w:r>
          </w:p>
        </w:tc>
        <w:tc>
          <w:tcPr>
            <w:tcW w:w="2551" w:type="dxa"/>
            <w:vAlign w:val="center"/>
          </w:tcPr>
          <w:p>
            <w:pPr>
              <w:pStyle w:val="单元格样式4"/>
            </w:pPr>
          </w:p>
        </w:tc>
        <w:tc>
          <w:tcPr>
            <w:tcW w:w="2551" w:type="dxa"/>
            <w:vAlign w:val="center"/>
          </w:tcPr>
          <w:p>
            <w:pPr>
              <w:pStyle w:val="单元格样式4"/>
            </w:pPr>
            <w:r>
              <w:t xml:space="preserve">11.82</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133.52</w:t>
            </w:r>
          </w:p>
        </w:tc>
        <w:tc>
          <w:tcPr>
            <w:tcW w:w="2551" w:type="dxa"/>
            <w:vAlign w:val="center"/>
          </w:tcPr>
          <w:p>
            <w:pPr>
              <w:pStyle w:val="单元格样式4"/>
            </w:pPr>
            <w:r>
              <w:t xml:space="preserve">133.52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109.55</w:t>
            </w:r>
          </w:p>
        </w:tc>
        <w:tc>
          <w:tcPr>
            <w:tcW w:w="2551" w:type="dxa"/>
            <w:vAlign w:val="center"/>
          </w:tcPr>
          <w:p>
            <w:pPr>
              <w:pStyle w:val="单元格样式4"/>
            </w:pPr>
            <w:r>
              <w:t xml:space="preserve">109.55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1.02</w:t>
            </w:r>
          </w:p>
        </w:tc>
        <w:tc>
          <w:tcPr>
            <w:tcW w:w="2551" w:type="dxa"/>
            <w:vAlign w:val="center"/>
          </w:tcPr>
          <w:p>
            <w:pPr>
              <w:pStyle w:val="单元格样式4"/>
            </w:pPr>
            <w:r>
              <w:t xml:space="preserve">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30307</w:t>
            </w:r>
          </w:p>
        </w:tc>
        <w:tc>
          <w:tcPr>
            <w:tcW w:w="4535" w:type="dxa"/>
            <w:vAlign w:val="center"/>
          </w:tcPr>
          <w:p>
            <w:pPr>
              <w:pStyle w:val="单元格样式2"/>
            </w:pPr>
            <w:r>
              <w:t xml:space="preserve">医疗费补助</w:t>
            </w:r>
          </w:p>
        </w:tc>
        <w:tc>
          <w:tcPr>
            <w:tcW w:w="2551" w:type="dxa"/>
            <w:vAlign w:val="center"/>
          </w:tcPr>
          <w:p>
            <w:pPr>
              <w:pStyle w:val="单元格样式4"/>
            </w:pPr>
            <w:r>
              <w:t xml:space="preserve">22.83</w:t>
            </w:r>
          </w:p>
        </w:tc>
        <w:tc>
          <w:tcPr>
            <w:tcW w:w="2551" w:type="dxa"/>
            <w:vAlign w:val="center"/>
          </w:tcPr>
          <w:p>
            <w:pPr>
              <w:pStyle w:val="单元格样式4"/>
            </w:pPr>
            <w:r>
              <w:t xml:space="preserve">22.83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2.29</w:t>
            </w:r>
          </w:p>
        </w:tc>
        <w:tc>
          <w:tcPr>
            <w:tcW w:w="2381" w:type="dxa"/>
            <w:vAlign w:val="center"/>
          </w:tcPr>
          <w:p>
            <w:pPr>
              <w:pStyle w:val="单元格样式4"/>
            </w:pPr>
            <w:r>
              <w:t xml:space="preserve">2.29</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唐山市路南区人民检察院2024年部门预算信息公开情况说明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唐山市路南区人民检察院2024年部门预算信息公开情况说明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按照《中华人民共和国预算法》、《地方预决算公开操作规程》和《关于进一步推进预算公开工作的实施意见》规定，现将唐山市路南区人民检察院2024年部门预算公开如下：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根据《唐山市路南区人民检察院职能配置、内设机构和人员编制规定》，唐山市路南区人民检察院的主要职责是：</w:t>
      </w:r>
    </w:p>
    <w:p>
      <w:pPr>
        <w:pStyle w:val="插入文本样式-插入预算公开部门职责文件"/>
      </w:pPr>
      <w:r>
        <w:t xml:space="preserve">依法惩治刑事犯罪，监督行政机关依法行政，促进社会和谐，维护社会稳定，服务全区工作大局，发挥服务保障职能。积极推进执行工作，切实保障群众合法权益，维护社会公平正义。检查监督，通过行驶检察权，惩罚犯罪活动，保护国家安全，保护公民、法人、其他组织和合法权益，保障国家法律的正确实施。</w:t>
      </w:r>
    </w:p>
    <w:p>
      <w:pPr>
        <w:pStyle w:val="插入文本样式-插入预算公开部门职责文件"/>
      </w:pPr>
      <w:r>
        <w:t xml:space="preserve">对侦查机关的侦查活动，审判机关的审判活动，监狱看守所等机关执行刑罚的活动，依法实行法律监督，维护司法公正。组织和指导全区控申部门受理来信来访、举报、刑事申诉、国家赔偿、司法救助工作，受理民事监督案件，办理区院管辖的信访、举报案件、刑事申诉案件、国家赔偿、司法救助案件以及上级机关交办、转办、督办案件。承担系统综合业务管理和综合事务管理工作。保护公民、法人和其他单位的合法权益，促进司法公正，维护社会稳定。</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唐山市路南区人民检察院本级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按照预算管理有关规定，目前部门预算的编制实行综合预算管理，即全部收入和支出都反映在预算中。唐山市路南区人民检察院机关及所属事业单位的收支包含在部门预算中。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1592.17万元，其中：一般公共预算收入1566.11万元，基金预算收入0.00万元，国有资本经营预算收入0.00万元，财政专户核拨收入0.00万元，单位资金收入0.00万元，上年结转结余26.06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路南区人民检察院年度部门预算中支出预算的总体情况。2024年支出预算1592.17万元，其中基本支出1433.52万元，包括人员经费1297.09万元和日常公用经费136.43万元；项目支出158.65万元，主要为特定目标类项目合计20.06万元，为上年转移支付资金结转结余;其他运转类项目合计132.59万元，其中后勤保障经费30万元;检察业务费8.74万元;劳务费93.85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1592.17万元，较2023年预算增加1592.17万元，其中：基本支出增加1433.52万元，主要为2024年预算收支安排1592.17万元，较2023年预算增加49.59万元，其中：基本支出减少43.9万元。项目支出增加158.65万元，主要为项目支出增加93.49万元，为上划劳务派遣人员经费。</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2.29万元，其中因公出国（境）费0.00万元；公务用车购置及运维费2.29万元（其中：公务用车购置费为0.00万元，公务用车运维费2.29万元)；公务接待费0.00万元。与2023年相比增加2.29万元，增减变化的主要原因是2023年公务用车运行维护费预算为2.79万元，2024年比上年减少了0.5万元，原因为减少公务用车维修及燃料费用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河北省唐山市路南区人民检察院主要通过加强执法规范化标准化建设，使执法规程更加明确，执法标准细化到每个执法环节、执法岗位，坚持司法公正，实行司法公开。2023年工作目标：全市检察机关将坚持以习近平新时代中国特色社会主义思想为指导，紧紧围绕学习宣传贯彻党的二十大精神这条主线，聚焦高质量发展主题，以“时时放心不下”的责任感，马上就办、真抓实干，全力以赴、担当履职，努力在加快实现“三个努力建成”“三个走在前列”新的赶考路上交出优异的检察答卷。一是锚定最高站位、最深融合，努力交出捍卫“两个确立”的更优答卷。二是锚定最美场景、最强保障，努力交出服务大局、为民司法的更优答卷。三是锚定最新理念、最大格局，努力交出强化新时代法律监督的更优答卷。四是锚定最严要求、最实举措，努力交出过硬检察队伍建设的更优答卷。全市检察机关将紧紧依靠市委和省院的坚强领导，认真落实本次会议决议，立足新使命、护航新时代，踔厉奋发、勇毅前行、团结奋斗，为打造更多更好的中国式现代化唐山场景贡献检察力量！</w:t>
      </w:r>
    </w:p>
    <w:p>
      <w:pPr>
        <w:pStyle w:val="插入文本样式-插入总体目标文件"/>
      </w:pPr>
      <w:r>
        <w:t xml:space="preserve">二、分项绩效目标</w:t>
      </w:r>
    </w:p>
    <w:p>
      <w:pPr>
        <w:pStyle w:val="插入文本样式-插入总体目标文件"/>
      </w:pPr>
      <w:r>
        <w:t xml:space="preserve">（一）做好检察监督工作</w:t>
      </w:r>
    </w:p>
    <w:p>
      <w:pPr>
        <w:pStyle w:val="插入文本样式-插入总体目标文件"/>
      </w:pPr>
      <w:r>
        <w:t xml:space="preserve">绩效目标：对侦查机关的侦查活动、人民法院的审判活动、监狱看守所等机关执行刑罚的   活动，依法实行法律监督，维护司法公正。通过刑事检察权，惩罚犯罪活动，保护国家安全，保护公民、法人和其他组织的合法权益。</w:t>
      </w:r>
    </w:p>
    <w:p>
      <w:pPr>
        <w:pStyle w:val="插入文本样式-插入总体目标文件"/>
      </w:pPr>
      <w:r>
        <w:t xml:space="preserve">绩效指标：完成抗诉率≥1.54%</w:t>
      </w:r>
    </w:p>
    <w:p>
      <w:pPr>
        <w:pStyle w:val="插入文本样式-插入总体目标文件"/>
      </w:pPr>
      <w:r>
        <w:t xml:space="preserve">完成公诉率≥91.1%</w:t>
      </w:r>
    </w:p>
    <w:p>
      <w:pPr>
        <w:pStyle w:val="插入文本样式-插入总体目标文件"/>
      </w:pPr>
      <w:r>
        <w:t xml:space="preserve">完成错误批捕率≤1.8%</w:t>
      </w:r>
    </w:p>
    <w:p>
      <w:pPr>
        <w:pStyle w:val="插入文本样式-插入总体目标文件"/>
      </w:pPr>
      <w:r>
        <w:t xml:space="preserve">（二）做好控告和刑事申诉检察工作</w:t>
      </w:r>
    </w:p>
    <w:p>
      <w:pPr>
        <w:pStyle w:val="插入文本样式-插入总体目标文件"/>
      </w:pPr>
      <w:r>
        <w:t xml:space="preserve">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插入文本样式-插入总体目标文件"/>
      </w:pPr>
      <w:r>
        <w:t xml:space="preserve">绩效指标：涉检信访案件办结率100%；</w:t>
      </w:r>
    </w:p>
    <w:p>
      <w:pPr>
        <w:pStyle w:val="插入文本样式-插入总体目标文件"/>
      </w:pPr>
      <w:r>
        <w:t xml:space="preserve">举报、信访处理结果满意率96%；</w:t>
      </w:r>
    </w:p>
    <w:p>
      <w:pPr>
        <w:pStyle w:val="插入文本样式-插入总体目标文件"/>
      </w:pPr>
      <w:r>
        <w:t xml:space="preserve">国家赔偿案件办结率100%；</w:t>
      </w:r>
    </w:p>
    <w:p>
      <w:pPr>
        <w:pStyle w:val="插入文本样式-插入总体目标文件"/>
      </w:pPr>
      <w:r>
        <w:t xml:space="preserve">息诉罢访率97%；</w:t>
      </w:r>
    </w:p>
    <w:p>
      <w:pPr>
        <w:pStyle w:val="插入文本样式-插入总体目标文件"/>
      </w:pPr>
      <w:r>
        <w:t xml:space="preserve">(三)做好检察事务管理工作</w:t>
      </w:r>
    </w:p>
    <w:p>
      <w:pPr>
        <w:pStyle w:val="插入文本样式-插入总体目标文件"/>
      </w:pPr>
      <w:r>
        <w:t xml:space="preserve">绩效目标：承担系统综合业务管理和综合事务管理工作，确保全年各项检察工作圆满完成；提高执法水平和办案质量、提升检察机关法律监督能力；为检察工作顺利开展提供检务保障。</w:t>
      </w:r>
    </w:p>
    <w:p>
      <w:pPr>
        <w:pStyle w:val="插入文本样式-插入总体目标文件"/>
      </w:pPr>
      <w:r>
        <w:t xml:space="preserve">绩效指标：检务保障干警满意度90%以上。</w:t>
      </w:r>
    </w:p>
    <w:p>
      <w:pPr>
        <w:pStyle w:val="插入文本样式-插入总体目标文件"/>
      </w:pPr>
      <w:r>
        <w:t xml:space="preserve">三、工作保障措施</w:t>
      </w:r>
    </w:p>
    <w:p>
      <w:pPr>
        <w:pStyle w:val="插入文本样式-插入总体目标文件"/>
      </w:pPr>
      <w:r>
        <w:t xml:space="preserve">（一）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2023年将继续完善预算绩效管理制度、资金管理办法、工作保障制度等，为全年预算绩效目标的实现奠定制度基础。</w:t>
      </w:r>
    </w:p>
    <w:p>
      <w:pPr>
        <w:pStyle w:val="插入文本样式-插入总体目标文件"/>
      </w:pPr>
      <w:r>
        <w:t xml:space="preserve">（二）加强支出管理。通过优化支出结构、编细编实预算、加快履行政府采购手续、尽快启动项目、及时支付资金、按规定及时下达资金等多种措施，确保支出进度达标。</w:t>
      </w:r>
    </w:p>
    <w:p>
      <w:pPr>
        <w:pStyle w:val="插入文本样式-插入总体目标文件"/>
      </w:pPr>
      <w:r>
        <w:t xml:space="preserve">（三）加强绩效运行监控。按要求开展绩效运行监控，发现问题及时采取措施，确保绩效目标如期保质实现。</w:t>
      </w:r>
    </w:p>
    <w:p>
      <w:pPr>
        <w:pStyle w:val="插入文本样式-插入总体目标文件"/>
      </w:pPr>
      <w:r>
        <w:t xml:space="preserve">（四）做好绩效自评。按要求开展上年度部门预算绩效自评和重点评价工作，对评价中发现的问题及时整改，调整优化支出结构，提高财政资金使用效益。</w:t>
      </w:r>
    </w:p>
    <w:p>
      <w:pPr>
        <w:pStyle w:val="插入文本样式-插入总体目标文件"/>
      </w:pPr>
      <w:r>
        <w:t xml:space="preserve">（五）规范财务资产管理。完善财务管理制度，严格审批程序，加强固定资产登记、使用和报废处置管理，做到支出合理，物尽其用。</w:t>
      </w:r>
    </w:p>
    <w:p>
      <w:pPr>
        <w:pStyle w:val="插入文本样式-插入总体目标文件"/>
      </w:pPr>
      <w: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总体目标文件"/>
      </w:pPr>
      <w:r>
        <w:t xml:space="preserve">（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1、后勤保障经费绩效目标表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13020024P00684113254H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后勤保障经费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2024后勤保障经费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1.做好其他专项支出，保障单位业务开展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等于100%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工作合格率</w:t>
            </w:r>
          </w:p>
        </w:tc>
        <w:tc>
          <w:tcPr>
            <w:tcW w:w="5386" w:type="dxa"/>
            <w:hMerge w:val="restart"/>
            <w:vAlign w:val="center"/>
          </w:tcPr>
          <w:p>
            <w:pPr>
              <w:pStyle w:val="单元格样式2"/>
            </w:pPr>
            <w:r>
              <w:t xml:space="preserve">工作合格率</w:t>
            </w:r>
          </w:p>
        </w:tc>
        <w:tc>
          <w:tcPr>
            <w:tcW w:w="0" w:type="auto"/>
            <w:hMerge/>
            <w:vAlign w:val="center"/>
          </w:tcPr>
          <w:p>
            <w:pPr/>
          </w:p>
        </w:tc>
        <w:tc>
          <w:tcPr>
            <w:tcW w:w="2268" w:type="dxa"/>
            <w:vAlign w:val="center"/>
          </w:tcPr>
          <w:p>
            <w:pPr>
              <w:pStyle w:val="单元格样式2"/>
            </w:pPr>
            <w:r>
              <w:t xml:space="preserve">等于100%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2024年12月31日</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大于90%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保障工作正常开展</w:t>
            </w:r>
          </w:p>
        </w:tc>
        <w:tc>
          <w:tcPr>
            <w:tcW w:w="5386" w:type="dxa"/>
            <w:hMerge w:val="restart"/>
            <w:vAlign w:val="center"/>
          </w:tcPr>
          <w:p>
            <w:pPr>
              <w:pStyle w:val="单元格样式2"/>
            </w:pPr>
            <w:r>
              <w:t xml:space="preserve">保证工作正常开展</w:t>
            </w:r>
          </w:p>
        </w:tc>
        <w:tc>
          <w:tcPr>
            <w:tcW w:w="0" w:type="auto"/>
            <w:hMerge/>
            <w:vAlign w:val="center"/>
          </w:tcPr>
          <w:p>
            <w:pPr/>
          </w:p>
        </w:tc>
        <w:tc>
          <w:tcPr>
            <w:tcW w:w="2268" w:type="dxa"/>
            <w:vAlign w:val="center"/>
          </w:tcPr>
          <w:p>
            <w:pPr>
              <w:pStyle w:val="单元格样式2"/>
            </w:pPr>
            <w:r>
              <w:t xml:space="preserve">保障工作正常开展</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大于90%</w:t>
            </w:r>
          </w:p>
        </w:tc>
        <w:tc>
          <w:tcPr>
            <w:tcW w:w="1276" w:type="dxa"/>
            <w:vAlign w:val="center"/>
          </w:tcPr>
          <w:p>
            <w:pPr>
              <w:pStyle w:val="单元格样式2"/>
            </w:pPr>
            <w:r>
              <w:t xml:space="preserve">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2、检察业务费绩效目标表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13020024P00684113252A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检察业务费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2024年办公办案经费支出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1.做好其他专项支出，保障单位业务开展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等于100%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工作合格率</w:t>
            </w:r>
          </w:p>
        </w:tc>
        <w:tc>
          <w:tcPr>
            <w:tcW w:w="5386" w:type="dxa"/>
            <w:hMerge w:val="restart"/>
            <w:vAlign w:val="center"/>
          </w:tcPr>
          <w:p>
            <w:pPr>
              <w:pStyle w:val="单元格样式2"/>
            </w:pPr>
            <w:r>
              <w:t xml:space="preserve">工作合格率</w:t>
            </w:r>
          </w:p>
        </w:tc>
        <w:tc>
          <w:tcPr>
            <w:tcW w:w="0" w:type="auto"/>
            <w:hMerge/>
            <w:vAlign w:val="center"/>
          </w:tcPr>
          <w:p>
            <w:pPr/>
          </w:p>
        </w:tc>
        <w:tc>
          <w:tcPr>
            <w:tcW w:w="2268" w:type="dxa"/>
            <w:vAlign w:val="center"/>
          </w:tcPr>
          <w:p>
            <w:pPr>
              <w:pStyle w:val="单元格样式2"/>
            </w:pPr>
            <w:r>
              <w:t xml:space="preserve">等于100%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2024年12月31日</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大于90%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保障工作正常开展</w:t>
            </w:r>
          </w:p>
        </w:tc>
        <w:tc>
          <w:tcPr>
            <w:tcW w:w="5386" w:type="dxa"/>
            <w:hMerge w:val="restart"/>
            <w:vAlign w:val="center"/>
          </w:tcPr>
          <w:p>
            <w:pPr>
              <w:pStyle w:val="单元格样式2"/>
            </w:pPr>
            <w:r>
              <w:t xml:space="preserve">保障工作正常开展</w:t>
            </w:r>
          </w:p>
        </w:tc>
        <w:tc>
          <w:tcPr>
            <w:tcW w:w="0" w:type="auto"/>
            <w:hMerge/>
            <w:vAlign w:val="center"/>
          </w:tcPr>
          <w:p>
            <w:pPr/>
          </w:p>
        </w:tc>
        <w:tc>
          <w:tcPr>
            <w:tcW w:w="2268" w:type="dxa"/>
            <w:vAlign w:val="center"/>
          </w:tcPr>
          <w:p>
            <w:pPr>
              <w:pStyle w:val="单元格样式2"/>
            </w:pPr>
            <w:r>
              <w:t xml:space="preserve">保障工作正常开展</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大于90%</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13020024P006841130662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93.85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93.85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2024年临时工作人员劳务费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1.做好其他专项支出，保障单位业务开展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等于100%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工作合格率</w:t>
            </w:r>
          </w:p>
        </w:tc>
        <w:tc>
          <w:tcPr>
            <w:tcW w:w="5386" w:type="dxa"/>
            <w:hMerge w:val="restart"/>
            <w:vAlign w:val="center"/>
          </w:tcPr>
          <w:p>
            <w:pPr>
              <w:pStyle w:val="单元格样式2"/>
            </w:pPr>
            <w:r>
              <w:t xml:space="preserve">工作合格率</w:t>
            </w:r>
          </w:p>
        </w:tc>
        <w:tc>
          <w:tcPr>
            <w:tcW w:w="0" w:type="auto"/>
            <w:hMerge/>
            <w:vAlign w:val="center"/>
          </w:tcPr>
          <w:p>
            <w:pPr/>
          </w:p>
        </w:tc>
        <w:tc>
          <w:tcPr>
            <w:tcW w:w="2268" w:type="dxa"/>
            <w:vAlign w:val="center"/>
          </w:tcPr>
          <w:p>
            <w:pPr>
              <w:pStyle w:val="单元格样式2"/>
            </w:pPr>
            <w:r>
              <w:t xml:space="preserve">等于100%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2024年12月31日</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大于90%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保障工作正常开展</w:t>
            </w:r>
          </w:p>
        </w:tc>
        <w:tc>
          <w:tcPr>
            <w:tcW w:w="5386" w:type="dxa"/>
            <w:hMerge w:val="restart"/>
            <w:vAlign w:val="center"/>
          </w:tcPr>
          <w:p>
            <w:pPr>
              <w:pStyle w:val="单元格样式2"/>
            </w:pPr>
            <w:r>
              <w:t xml:space="preserve">保障工作正常开展</w:t>
            </w:r>
          </w:p>
        </w:tc>
        <w:tc>
          <w:tcPr>
            <w:tcW w:w="0" w:type="auto"/>
            <w:hMerge/>
            <w:vAlign w:val="center"/>
          </w:tcPr>
          <w:p>
            <w:pPr/>
          </w:p>
        </w:tc>
        <w:tc>
          <w:tcPr>
            <w:tcW w:w="2268" w:type="dxa"/>
            <w:vAlign w:val="center"/>
          </w:tcPr>
          <w:p>
            <w:pPr>
              <w:pStyle w:val="单元格样式2"/>
            </w:pPr>
            <w:r>
              <w:t xml:space="preserve">保障工作正常开展</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大于90%</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4、关于下达检察机关2023年省级转移支付资金的通知（办案业务费）其他商品和服务支出绩效目标表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13020023P00000210145K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关于下达检察机关2023年省级转移支付资金的通知（办案业务费）其他商品和服务支出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1.使用结转经费支付办公办案经费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检察机关办案各类案件</w:t>
            </w:r>
          </w:p>
        </w:tc>
        <w:tc>
          <w:tcPr>
            <w:tcW w:w="5386" w:type="dxa"/>
            <w:hMerge w:val="restart"/>
            <w:vAlign w:val="center"/>
          </w:tcPr>
          <w:p>
            <w:pPr>
              <w:pStyle w:val="单元格样式2"/>
            </w:pPr>
            <w:r>
              <w:t xml:space="preserve">检察机关办理各类案件</w:t>
            </w:r>
          </w:p>
        </w:tc>
        <w:tc>
          <w:tcPr>
            <w:tcW w:w="0" w:type="auto"/>
            <w:hMerge/>
            <w:vAlign w:val="center"/>
          </w:tcPr>
          <w:p>
            <w:pPr/>
          </w:p>
        </w:tc>
        <w:tc>
          <w:tcPr>
            <w:tcW w:w="2268" w:type="dxa"/>
            <w:vAlign w:val="center"/>
          </w:tcPr>
          <w:p>
            <w:pPr>
              <w:pStyle w:val="单元格样式2"/>
            </w:pPr>
            <w:r>
              <w:t xml:space="preserve">≥1000件</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案件合格率</w:t>
            </w:r>
          </w:p>
        </w:tc>
        <w:tc>
          <w:tcPr>
            <w:tcW w:w="5386" w:type="dxa"/>
            <w:hMerge w:val="restart"/>
            <w:vAlign w:val="center"/>
          </w:tcPr>
          <w:p>
            <w:pPr>
              <w:pStyle w:val="单元格样式2"/>
            </w:pPr>
            <w:r>
              <w:t xml:space="preserve">案件合格率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案件办结率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维护社会稳定发展</w:t>
            </w:r>
          </w:p>
        </w:tc>
        <w:tc>
          <w:tcPr>
            <w:tcW w:w="5386" w:type="dxa"/>
            <w:hMerge w:val="restart"/>
            <w:vAlign w:val="center"/>
          </w:tcPr>
          <w:p>
            <w:pPr>
              <w:pStyle w:val="单元格样式2"/>
            </w:pPr>
            <w:r>
              <w:t xml:space="preserve">维护社会稳定发展</w:t>
            </w:r>
          </w:p>
        </w:tc>
        <w:tc>
          <w:tcPr>
            <w:tcW w:w="0" w:type="auto"/>
            <w:hMerge/>
            <w:vAlign w:val="center"/>
          </w:tcPr>
          <w:p>
            <w:pPr/>
          </w:p>
        </w:tc>
        <w:tc>
          <w:tcPr>
            <w:tcW w:w="2268" w:type="dxa"/>
            <w:vAlign w:val="center"/>
          </w:tcPr>
          <w:p>
            <w:pPr>
              <w:pStyle w:val="单元格样式2"/>
            </w:pPr>
            <w:r>
              <w:t xml:space="preserve">能够维护社会稳定发展</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干警满意度</w:t>
            </w:r>
          </w:p>
        </w:tc>
        <w:tc>
          <w:tcPr>
            <w:tcW w:w="5386" w:type="dxa"/>
            <w:hMerge w:val="restart"/>
            <w:vAlign w:val="center"/>
          </w:tcPr>
          <w:p>
            <w:pPr>
              <w:pStyle w:val="单元格样式2"/>
            </w:pPr>
            <w:r>
              <w:t xml:space="preserve">干警满意度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5、关于下达检察机关2023年中央政法转移支付资金的通知（办案业务费）办公费绩效目标表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13020023P000002101467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关于下达检察机关2023年中央政法转移支付资金的通知（办案业务费）办公费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1.使用结转资金支付办公办案经费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检察机关办理各类案件</w:t>
            </w:r>
          </w:p>
        </w:tc>
        <w:tc>
          <w:tcPr>
            <w:tcW w:w="5386" w:type="dxa"/>
            <w:hMerge w:val="restart"/>
            <w:vAlign w:val="center"/>
          </w:tcPr>
          <w:p>
            <w:pPr>
              <w:pStyle w:val="单元格样式2"/>
            </w:pPr>
            <w:r>
              <w:t xml:space="preserve">检察机关办理各类案件</w:t>
            </w:r>
          </w:p>
        </w:tc>
        <w:tc>
          <w:tcPr>
            <w:tcW w:w="0" w:type="auto"/>
            <w:hMerge/>
            <w:vAlign w:val="center"/>
          </w:tcPr>
          <w:p>
            <w:pPr/>
          </w:p>
        </w:tc>
        <w:tc>
          <w:tcPr>
            <w:tcW w:w="2268" w:type="dxa"/>
            <w:vAlign w:val="center"/>
          </w:tcPr>
          <w:p>
            <w:pPr>
              <w:pStyle w:val="单元格样式2"/>
            </w:pPr>
            <w:r>
              <w:t xml:space="preserve">≥1000件</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案件合格率</w:t>
            </w:r>
          </w:p>
        </w:tc>
        <w:tc>
          <w:tcPr>
            <w:tcW w:w="5386" w:type="dxa"/>
            <w:hMerge w:val="restart"/>
            <w:vAlign w:val="center"/>
          </w:tcPr>
          <w:p>
            <w:pPr>
              <w:pStyle w:val="单元格样式2"/>
            </w:pPr>
            <w:r>
              <w:t xml:space="preserve">案件合格率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案件办结率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维护社会稳定发展</w:t>
            </w:r>
          </w:p>
        </w:tc>
        <w:tc>
          <w:tcPr>
            <w:tcW w:w="5386" w:type="dxa"/>
            <w:hMerge w:val="restart"/>
            <w:vAlign w:val="center"/>
          </w:tcPr>
          <w:p>
            <w:pPr>
              <w:pStyle w:val="单元格样式2"/>
            </w:pPr>
            <w:r>
              <w:t xml:space="preserve">维护社会稳定发展</w:t>
            </w:r>
          </w:p>
        </w:tc>
        <w:tc>
          <w:tcPr>
            <w:tcW w:w="0" w:type="auto"/>
            <w:hMerge/>
            <w:vAlign w:val="center"/>
          </w:tcPr>
          <w:p>
            <w:pPr/>
          </w:p>
        </w:tc>
        <w:tc>
          <w:tcPr>
            <w:tcW w:w="2268" w:type="dxa"/>
            <w:vAlign w:val="center"/>
          </w:tcPr>
          <w:p>
            <w:pPr>
              <w:pStyle w:val="单元格样式2"/>
            </w:pPr>
            <w:r>
              <w:t xml:space="preserve">能够维护社会稳定发展</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干警满意度</w:t>
            </w:r>
          </w:p>
        </w:tc>
        <w:tc>
          <w:tcPr>
            <w:tcW w:w="5386" w:type="dxa"/>
            <w:hMerge w:val="restart"/>
            <w:vAlign w:val="center"/>
          </w:tcPr>
          <w:p>
            <w:pPr>
              <w:pStyle w:val="单元格样式2"/>
            </w:pPr>
            <w:r>
              <w:t xml:space="preserve">干警满意度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6、关于下达检察机关2023年中央政法转移支付资金的通知（办案业务费）差旅费绩效目标表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13020023P00000210148E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关于下达检察机关2023年中央政法转移支付资金的通知（办案业务费）差旅费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使用结转资金支付办公办案经费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检察机关办理各类案件</w:t>
            </w:r>
          </w:p>
        </w:tc>
        <w:tc>
          <w:tcPr>
            <w:tcW w:w="5386" w:type="dxa"/>
            <w:hMerge w:val="restart"/>
            <w:vAlign w:val="center"/>
          </w:tcPr>
          <w:p>
            <w:pPr>
              <w:pStyle w:val="单元格样式2"/>
            </w:pPr>
            <w:r>
              <w:t xml:space="preserve">检察机关办理各类案件</w:t>
            </w:r>
          </w:p>
        </w:tc>
        <w:tc>
          <w:tcPr>
            <w:tcW w:w="0" w:type="auto"/>
            <w:hMerge/>
            <w:vAlign w:val="center"/>
          </w:tcPr>
          <w:p>
            <w:pPr/>
          </w:p>
        </w:tc>
        <w:tc>
          <w:tcPr>
            <w:tcW w:w="2268" w:type="dxa"/>
            <w:vAlign w:val="center"/>
          </w:tcPr>
          <w:p>
            <w:pPr>
              <w:pStyle w:val="单元格样式2"/>
            </w:pPr>
            <w:r>
              <w:t xml:space="preserve">≥1000件</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案件合格率</w:t>
            </w:r>
          </w:p>
        </w:tc>
        <w:tc>
          <w:tcPr>
            <w:tcW w:w="5386" w:type="dxa"/>
            <w:hMerge w:val="restart"/>
            <w:vAlign w:val="center"/>
          </w:tcPr>
          <w:p>
            <w:pPr>
              <w:pStyle w:val="单元格样式2"/>
            </w:pPr>
            <w:r>
              <w:t xml:space="preserve">案件合格率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案件办结率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维护社会稳定发展</w:t>
            </w:r>
          </w:p>
        </w:tc>
        <w:tc>
          <w:tcPr>
            <w:tcW w:w="5386" w:type="dxa"/>
            <w:hMerge w:val="restart"/>
            <w:vAlign w:val="center"/>
          </w:tcPr>
          <w:p>
            <w:pPr>
              <w:pStyle w:val="单元格样式2"/>
            </w:pPr>
            <w:r>
              <w:t xml:space="preserve">维护社会稳定发展</w:t>
            </w:r>
          </w:p>
        </w:tc>
        <w:tc>
          <w:tcPr>
            <w:tcW w:w="0" w:type="auto"/>
            <w:hMerge/>
            <w:vAlign w:val="center"/>
          </w:tcPr>
          <w:p>
            <w:pPr/>
          </w:p>
        </w:tc>
        <w:tc>
          <w:tcPr>
            <w:tcW w:w="2268" w:type="dxa"/>
            <w:vAlign w:val="center"/>
          </w:tcPr>
          <w:p>
            <w:pPr>
              <w:pStyle w:val="单元格样式2"/>
            </w:pPr>
            <w:r>
              <w:t xml:space="preserve">能够维护社会稳定发展</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干警满意度</w:t>
            </w:r>
          </w:p>
        </w:tc>
        <w:tc>
          <w:tcPr>
            <w:tcW w:w="5386" w:type="dxa"/>
            <w:hMerge w:val="restart"/>
            <w:vAlign w:val="center"/>
          </w:tcPr>
          <w:p>
            <w:pPr>
              <w:pStyle w:val="单元格样式2"/>
            </w:pPr>
            <w:r>
              <w:t xml:space="preserve">干警满意度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7、关于下达检察机关2023年中央政法转移支付资金的通知（办案业务费）印刷费绩效目标表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13020023P00000210147T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关于下达检察机关2023年中央政法转移支付资金的通知（办案业务费）印刷费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使用结转资金支付办公办案经费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检察机关办理各类案件</w:t>
            </w:r>
          </w:p>
        </w:tc>
        <w:tc>
          <w:tcPr>
            <w:tcW w:w="5386" w:type="dxa"/>
            <w:hMerge w:val="restart"/>
            <w:vAlign w:val="center"/>
          </w:tcPr>
          <w:p>
            <w:pPr>
              <w:pStyle w:val="单元格样式2"/>
            </w:pPr>
            <w:r>
              <w:t xml:space="preserve">检察机关办理各类案件</w:t>
            </w:r>
          </w:p>
        </w:tc>
        <w:tc>
          <w:tcPr>
            <w:tcW w:w="0" w:type="auto"/>
            <w:hMerge/>
            <w:vAlign w:val="center"/>
          </w:tcPr>
          <w:p>
            <w:pPr/>
          </w:p>
        </w:tc>
        <w:tc>
          <w:tcPr>
            <w:tcW w:w="2268" w:type="dxa"/>
            <w:vAlign w:val="center"/>
          </w:tcPr>
          <w:p>
            <w:pPr>
              <w:pStyle w:val="单元格样式2"/>
            </w:pPr>
            <w:r>
              <w:t xml:space="preserve">≥1000件</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案件合格率</w:t>
            </w:r>
          </w:p>
        </w:tc>
        <w:tc>
          <w:tcPr>
            <w:tcW w:w="5386" w:type="dxa"/>
            <w:hMerge w:val="restart"/>
            <w:vAlign w:val="center"/>
          </w:tcPr>
          <w:p>
            <w:pPr>
              <w:pStyle w:val="单元格样式2"/>
            </w:pPr>
            <w:r>
              <w:t xml:space="preserve">案件合格率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案件办结率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维护社会稳定发展</w:t>
            </w:r>
          </w:p>
        </w:tc>
        <w:tc>
          <w:tcPr>
            <w:tcW w:w="5386" w:type="dxa"/>
            <w:hMerge w:val="restart"/>
            <w:vAlign w:val="center"/>
          </w:tcPr>
          <w:p>
            <w:pPr>
              <w:pStyle w:val="单元格样式2"/>
            </w:pPr>
            <w:r>
              <w:t xml:space="preserve">维护社会稳定发展</w:t>
            </w:r>
          </w:p>
        </w:tc>
        <w:tc>
          <w:tcPr>
            <w:tcW w:w="0" w:type="auto"/>
            <w:hMerge/>
            <w:vAlign w:val="center"/>
          </w:tcPr>
          <w:p>
            <w:pPr/>
          </w:p>
        </w:tc>
        <w:tc>
          <w:tcPr>
            <w:tcW w:w="2268" w:type="dxa"/>
            <w:vAlign w:val="center"/>
          </w:tcPr>
          <w:p>
            <w:pPr>
              <w:pStyle w:val="单元格样式2"/>
            </w:pPr>
            <w:r>
              <w:t xml:space="preserve">维护社会稳定发展</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干警满意度</w:t>
            </w:r>
          </w:p>
        </w:tc>
        <w:tc>
          <w:tcPr>
            <w:tcW w:w="5386" w:type="dxa"/>
            <w:hMerge w:val="restart"/>
            <w:vAlign w:val="center"/>
          </w:tcPr>
          <w:p>
            <w:pPr>
              <w:pStyle w:val="单元格样式2"/>
            </w:pPr>
            <w:r>
              <w:t xml:space="preserve">干警满意度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8、关于下达检察机关2023年中央政法转移支付资金的通知（业务装备费）办公设备购置绩效目标表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13020023P000002101440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关于下达检察机关2023年中央政法转移支付资金的通知（业务装备费）办公设备购置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1.使用结转资金支付办案设备购置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按购置计划采购率</w:t>
            </w:r>
          </w:p>
        </w:tc>
        <w:tc>
          <w:tcPr>
            <w:tcW w:w="5386" w:type="dxa"/>
            <w:hMerge w:val="restart"/>
            <w:vAlign w:val="center"/>
          </w:tcPr>
          <w:p>
            <w:pPr>
              <w:pStyle w:val="单元格样式2"/>
            </w:pPr>
            <w:r>
              <w:t xml:space="preserve">按购置计划采购率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购置质量合格率</w:t>
            </w:r>
          </w:p>
        </w:tc>
        <w:tc>
          <w:tcPr>
            <w:tcW w:w="5386" w:type="dxa"/>
            <w:hMerge w:val="restart"/>
            <w:vAlign w:val="center"/>
          </w:tcPr>
          <w:p>
            <w:pPr>
              <w:pStyle w:val="单元格样式2"/>
            </w:pPr>
            <w:r>
              <w:t xml:space="preserve">购置质量合格率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设备购置按期完成率</w:t>
            </w:r>
          </w:p>
        </w:tc>
        <w:tc>
          <w:tcPr>
            <w:tcW w:w="5386" w:type="dxa"/>
            <w:hMerge w:val="restart"/>
            <w:vAlign w:val="center"/>
          </w:tcPr>
          <w:p>
            <w:pPr>
              <w:pStyle w:val="单元格样式2"/>
            </w:pPr>
            <w:r>
              <w:t xml:space="preserve">设备购置按期完成率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维护社会稳定发展</w:t>
            </w:r>
          </w:p>
        </w:tc>
        <w:tc>
          <w:tcPr>
            <w:tcW w:w="5386" w:type="dxa"/>
            <w:hMerge w:val="restart"/>
            <w:vAlign w:val="center"/>
          </w:tcPr>
          <w:p>
            <w:pPr>
              <w:pStyle w:val="单元格样式2"/>
            </w:pPr>
            <w:r>
              <w:t xml:space="preserve">维护社会稳定发展</w:t>
            </w:r>
          </w:p>
        </w:tc>
        <w:tc>
          <w:tcPr>
            <w:tcW w:w="0" w:type="auto"/>
            <w:hMerge/>
            <w:vAlign w:val="center"/>
          </w:tcPr>
          <w:p>
            <w:pPr/>
          </w:p>
        </w:tc>
        <w:tc>
          <w:tcPr>
            <w:tcW w:w="2268" w:type="dxa"/>
            <w:vAlign w:val="center"/>
          </w:tcPr>
          <w:p>
            <w:pPr>
              <w:pStyle w:val="单元格样式2"/>
            </w:pPr>
            <w:r>
              <w:t xml:space="preserve">能够维护社会稳定发展</w:t>
            </w:r>
          </w:p>
        </w:tc>
        <w:tc>
          <w:tcPr>
            <w:tcW w:w="1276"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干警满意度</w:t>
            </w:r>
          </w:p>
        </w:tc>
        <w:tc>
          <w:tcPr>
            <w:tcW w:w="5386" w:type="dxa"/>
            <w:hMerge w:val="restart"/>
            <w:vAlign w:val="center"/>
          </w:tcPr>
          <w:p>
            <w:pPr>
              <w:pStyle w:val="单元格样式2"/>
            </w:pPr>
            <w:r>
              <w:t xml:space="preserve">干警满意度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33.59</w:t>
            </w:r>
          </w:p>
        </w:tc>
        <w:tc>
          <w:tcPr>
            <w:tcW w:w="964" w:type="dxa"/>
            <w:vAlign w:val="center"/>
          </w:tcPr>
          <w:p>
            <w:pPr>
              <w:pStyle w:val="单元格样式7"/>
            </w:pPr>
            <w:r>
              <w:t xml:space="preserve">33.59</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33.59</w:t>
            </w:r>
          </w:p>
        </w:tc>
      </w:tr>
      <w:tr>
        <w:trPr>
          <w:cantSplit/>
          <w:jc w:val="center"/>
        </w:trPr>
        <w:tc>
          <w:tcPr>
            <w:tcW w:w="1701" w:type="dxa"/>
            <w:vAlign w:val="center"/>
          </w:tcPr>
          <w:p>
            <w:pPr>
              <w:pStyle w:val="单元格样式6"/>
            </w:pPr>
            <w:r>
              <w:t xml:space="preserve">唐山市路南区人民检察院本级小计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33.59</w:t>
            </w:r>
          </w:p>
        </w:tc>
        <w:tc>
          <w:tcPr>
            <w:tcW w:w="964" w:type="dxa"/>
            <w:vAlign w:val="center"/>
          </w:tcPr>
          <w:p>
            <w:pPr>
              <w:pStyle w:val="单元格样式7"/>
            </w:pPr>
            <w:r>
              <w:t xml:space="preserve">33.59</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33.59</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其他用具</w:t>
            </w:r>
          </w:p>
        </w:tc>
        <w:tc>
          <w:tcPr>
            <w:tcW w:w="1134" w:type="dxa"/>
            <w:vAlign w:val="center"/>
          </w:tcPr>
          <w:p>
            <w:pPr>
              <w:pStyle w:val="单元格样式2"/>
            </w:pPr>
            <w:r>
              <w:t xml:space="preserve">A05029900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其他纸制文具</w:t>
            </w:r>
          </w:p>
        </w:tc>
        <w:tc>
          <w:tcPr>
            <w:tcW w:w="1134" w:type="dxa"/>
            <w:vAlign w:val="center"/>
          </w:tcPr>
          <w:p>
            <w:pPr>
              <w:pStyle w:val="单元格样式2"/>
            </w:pPr>
            <w:r>
              <w:t xml:space="preserve">A05040199</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其他硒鼓、粉盒</w:t>
            </w:r>
          </w:p>
        </w:tc>
        <w:tc>
          <w:tcPr>
            <w:tcW w:w="1134" w:type="dxa"/>
            <w:vAlign w:val="center"/>
          </w:tcPr>
          <w:p>
            <w:pPr>
              <w:pStyle w:val="单元格样式2"/>
            </w:pPr>
            <w:r>
              <w:t xml:space="preserve">A05040299</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其他办公用品</w:t>
            </w:r>
          </w:p>
        </w:tc>
        <w:tc>
          <w:tcPr>
            <w:tcW w:w="1134" w:type="dxa"/>
            <w:vAlign w:val="center"/>
          </w:tcPr>
          <w:p>
            <w:pPr>
              <w:pStyle w:val="单元格样式2"/>
            </w:pPr>
            <w:r>
              <w:t xml:space="preserve">A05049900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房屋修缮</w:t>
            </w:r>
          </w:p>
        </w:tc>
        <w:tc>
          <w:tcPr>
            <w:tcW w:w="1134" w:type="dxa"/>
            <w:vAlign w:val="center"/>
          </w:tcPr>
          <w:p>
            <w:pPr>
              <w:pStyle w:val="单元格样式2"/>
            </w:pPr>
            <w:r>
              <w:t xml:space="preserve">B08010000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1.24</w:t>
            </w:r>
          </w:p>
        </w:tc>
        <w:tc>
          <w:tcPr>
            <w:tcW w:w="964" w:type="dxa"/>
            <w:vAlign w:val="center"/>
          </w:tcPr>
          <w:p>
            <w:pPr>
              <w:pStyle w:val="单元格样式4"/>
            </w:pPr>
            <w:r>
              <w:t xml:space="preserve">1.24</w:t>
            </w:r>
          </w:p>
        </w:tc>
        <w:tc>
          <w:tcPr>
            <w:tcW w:w="964" w:type="dxa"/>
            <w:vAlign w:val="center"/>
          </w:tcPr>
          <w:p>
            <w:pPr>
              <w:pStyle w:val="单元格样式4"/>
            </w:pPr>
            <w:r>
              <w:t xml:space="preserve">1.24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1.24</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基础电信服务</w:t>
            </w:r>
          </w:p>
        </w:tc>
        <w:tc>
          <w:tcPr>
            <w:tcW w:w="1134" w:type="dxa"/>
            <w:vAlign w:val="center"/>
          </w:tcPr>
          <w:p>
            <w:pPr>
              <w:pStyle w:val="单元格样式2"/>
            </w:pPr>
            <w:r>
              <w:t xml:space="preserve">C17010100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4.50</w:t>
            </w:r>
          </w:p>
        </w:tc>
        <w:tc>
          <w:tcPr>
            <w:tcW w:w="964" w:type="dxa"/>
            <w:vAlign w:val="center"/>
          </w:tcPr>
          <w:p>
            <w:pPr>
              <w:pStyle w:val="单元格样式4"/>
            </w:pPr>
            <w:r>
              <w:t xml:space="preserve">4.50</w:t>
            </w:r>
          </w:p>
        </w:tc>
        <w:tc>
          <w:tcPr>
            <w:tcW w:w="964" w:type="dxa"/>
            <w:vAlign w:val="center"/>
          </w:tcPr>
          <w:p>
            <w:pPr>
              <w:pStyle w:val="单元格样式4"/>
            </w:pPr>
            <w:r>
              <w:t xml:space="preserve">4.50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4.50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其他保险服务</w:t>
            </w:r>
          </w:p>
        </w:tc>
        <w:tc>
          <w:tcPr>
            <w:tcW w:w="1134" w:type="dxa"/>
            <w:vAlign w:val="center"/>
          </w:tcPr>
          <w:p>
            <w:pPr>
              <w:pStyle w:val="单元格样式2"/>
            </w:pPr>
            <w:r>
              <w:t xml:space="preserve">C18049900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1.29</w:t>
            </w:r>
          </w:p>
        </w:tc>
        <w:tc>
          <w:tcPr>
            <w:tcW w:w="964" w:type="dxa"/>
            <w:vAlign w:val="center"/>
          </w:tcPr>
          <w:p>
            <w:pPr>
              <w:pStyle w:val="单元格样式4"/>
            </w:pPr>
            <w:r>
              <w:t xml:space="preserve">1.29</w:t>
            </w:r>
          </w:p>
        </w:tc>
        <w:tc>
          <w:tcPr>
            <w:tcW w:w="964" w:type="dxa"/>
            <w:vAlign w:val="center"/>
          </w:tcPr>
          <w:p>
            <w:pPr>
              <w:pStyle w:val="单元格样式4"/>
            </w:pPr>
            <w:r>
              <w:t xml:space="preserve">1.29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1.29</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邮政服务</w:t>
            </w:r>
          </w:p>
        </w:tc>
        <w:tc>
          <w:tcPr>
            <w:tcW w:w="1134" w:type="dxa"/>
            <w:vAlign w:val="center"/>
          </w:tcPr>
          <w:p>
            <w:pPr>
              <w:pStyle w:val="单元格样式2"/>
            </w:pPr>
            <w:r>
              <w:t xml:space="preserve">C23100100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车辆维修和保养服务</w:t>
            </w:r>
          </w:p>
        </w:tc>
        <w:tc>
          <w:tcPr>
            <w:tcW w:w="1134" w:type="dxa"/>
            <w:vAlign w:val="center"/>
          </w:tcPr>
          <w:p>
            <w:pPr>
              <w:pStyle w:val="单元格样式2"/>
            </w:pPr>
            <w:r>
              <w:t xml:space="preserve">C23120301</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其他服务</w:t>
            </w:r>
          </w:p>
        </w:tc>
        <w:tc>
          <w:tcPr>
            <w:tcW w:w="1134" w:type="dxa"/>
            <w:vAlign w:val="center"/>
          </w:tcPr>
          <w:p>
            <w:pPr>
              <w:pStyle w:val="单元格样式2"/>
            </w:pPr>
            <w:r>
              <w:t xml:space="preserve">C99000000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5.06</w:t>
            </w:r>
          </w:p>
        </w:tc>
        <w:tc>
          <w:tcPr>
            <w:tcW w:w="964" w:type="dxa"/>
            <w:vAlign w:val="center"/>
          </w:tcPr>
          <w:p>
            <w:pPr>
              <w:pStyle w:val="单元格样式4"/>
            </w:pPr>
            <w:r>
              <w:t xml:space="preserve">5.06</w:t>
            </w:r>
          </w:p>
        </w:tc>
        <w:tc>
          <w:tcPr>
            <w:tcW w:w="964" w:type="dxa"/>
            <w:vAlign w:val="center"/>
          </w:tcPr>
          <w:p>
            <w:pPr>
              <w:pStyle w:val="单元格样式4"/>
            </w:pPr>
            <w:r>
              <w:t xml:space="preserve">5.06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5.06</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唐山市路南区人民检察院（含所属单位）上年末固定资产金额为1338.89万元（详见下表）。本年度拟购置固定资产总额为0.00万元，已按要求列入政府采购预算，详见政府采购预算表。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308唐山市路南区人民检察院</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1338.89</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2054</w:t>
            </w:r>
          </w:p>
        </w:tc>
        <w:tc>
          <w:tcPr>
            <w:tcW w:w="2835" w:type="dxa"/>
            <w:vAlign w:val="center"/>
          </w:tcPr>
          <w:p>
            <w:pPr>
              <w:pStyle w:val="单元格样式4"/>
            </w:pPr>
            <w:r>
              <w:t xml:space="preserve">188.44</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2054</w:t>
            </w:r>
          </w:p>
        </w:tc>
        <w:tc>
          <w:tcPr>
            <w:tcW w:w="2835" w:type="dxa"/>
            <w:vAlign w:val="center"/>
          </w:tcPr>
          <w:p>
            <w:pPr>
              <w:pStyle w:val="单元格样式4"/>
            </w:pPr>
            <w:r>
              <w:t xml:space="preserve">188.44</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12</w:t>
            </w:r>
          </w:p>
        </w:tc>
        <w:tc>
          <w:tcPr>
            <w:tcW w:w="2835" w:type="dxa"/>
            <w:vAlign w:val="center"/>
          </w:tcPr>
          <w:p>
            <w:pPr>
              <w:pStyle w:val="单元格样式4"/>
            </w:pPr>
            <w:r>
              <w:t xml:space="preserve">228.34</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1026</w:t>
            </w:r>
          </w:p>
        </w:tc>
        <w:tc>
          <w:tcPr>
            <w:tcW w:w="2835" w:type="dxa"/>
            <w:vAlign w:val="center"/>
          </w:tcPr>
          <w:p>
            <w:pPr>
              <w:pStyle w:val="单元格样式4"/>
            </w:pPr>
            <w:r>
              <w:t xml:space="preserve">922.11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styles" Target="styles.xml" /><Relationship Id="rId29" Type="http://schemas.openxmlformats.org/officeDocument/2006/relationships/webSettings" Target="webSettings.xml" /><Relationship Id="rId3" Type="http://schemas.openxmlformats.org/officeDocument/2006/relationships/customXml" Target="../customXml/item3.xml" /><Relationship Id="rId30" Type="http://schemas.openxmlformats.org/officeDocument/2006/relationships/numbering" Target="numbering.xml" /><Relationship Id="rId31"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2024-03-04T11:22:49Z</dcterms:created>
  <dcterms:modified xsi:type="dcterms:W3CDTF">2024-03-04T03:22:48Z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2024-03-04T11:22:54Z</dcterms:created>
  <dcterms:modified xsi:type="dcterms:W3CDTF">2024-03-04T03:22:54Z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2024-03-04T11:22:54Z</dcterms:created>
  <dcterms:modified xsi:type="dcterms:W3CDTF">2024-03-04T03:22:54Z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2024-03-04T11:22:55Z</dcterms:created>
  <dcterms:modified xsi:type="dcterms:W3CDTF">2024-03-04T03:22:55Z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2024-03-04T11:22:55Z</dcterms:created>
  <dcterms:modified xsi:type="dcterms:W3CDTF">2024-03-04T03:22:55Z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2024-03-04T11:22:55Z</dcterms:created>
  <dcterms:modified xsi:type="dcterms:W3CDTF">2024-03-04T03:22:55Z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2024-03-04T11:22:55Z</dcterms:created>
  <dcterms:modified xsi:type="dcterms:W3CDTF">2024-03-04T03:22:55Z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2024-03-04T11:22:56Z</dcterms:created>
  <dcterms:modified xsi:type="dcterms:W3CDTF">2024-03-04T03:22:56Z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2024-03-04T11:22:53Z</dcterms:created>
  <dcterms:modified xsi:type="dcterms:W3CDTF">2024-03-04T03:22:53Z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2024-03-04T11:22:53Z</dcterms:created>
  <dcterms:modified xsi:type="dcterms:W3CDTF">2024-03-04T03:22:53Z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2024-03-04T11:22:53Z</dcterms:created>
  <dcterms:modified xsi:type="dcterms:W3CDTF">2024-03-04T03:22:53Z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2024-03-04T11:22:54Z</dcterms:created>
  <dcterms:modified xsi:type="dcterms:W3CDTF">2024-03-04T03:22:54Z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2024-03-04T11:22:56Z</dcterms:created>
  <dcterms:modified xsi:type="dcterms:W3CDTF">2024-03-04T03:22:58Z</dcterms:modified>
</cp:coreProperties>
</file>