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43</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340滦南县人民法院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2380.21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2354.83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110.21</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110.98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2380.21</w:t>
            </w:r>
          </w:p>
        </w:tc>
        <w:tc>
          <w:tcPr>
            <w:tcW w:w="4535" w:type="dxa"/>
            <w:vAlign w:val="center"/>
          </w:tcPr>
          <w:p>
            <w:pPr>
              <w:pStyle w:val="14"/>
            </w:pPr>
            <w:r>
              <w:t>本年支出合计</w:t>
            </w:r>
          </w:p>
        </w:tc>
        <w:tc>
          <w:tcPr>
            <w:tcW w:w="2126" w:type="dxa"/>
            <w:vAlign w:val="center"/>
          </w:tcPr>
          <w:p>
            <w:pPr>
              <w:pStyle w:val="15"/>
            </w:pPr>
            <w:r>
              <w:t>2660.26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280.05</w:t>
            </w:r>
          </w:p>
        </w:tc>
        <w:tc>
          <w:tcPr>
            <w:tcW w:w="4535" w:type="dxa"/>
            <w:vAlign w:val="center"/>
          </w:tcPr>
          <w:p>
            <w:pPr>
              <w:pStyle w:val="12"/>
            </w:pPr>
            <w:r>
              <w:t>年终结转结余</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2660.26</w:t>
            </w:r>
          </w:p>
        </w:tc>
        <w:tc>
          <w:tcPr>
            <w:tcW w:w="4535" w:type="dxa"/>
            <w:vAlign w:val="center"/>
          </w:tcPr>
          <w:p>
            <w:pPr>
              <w:pStyle w:val="14"/>
            </w:pPr>
            <w:r>
              <w:t>支出总计</w:t>
            </w:r>
          </w:p>
        </w:tc>
        <w:tc>
          <w:tcPr>
            <w:tcW w:w="2126" w:type="dxa"/>
            <w:vAlign w:val="center"/>
          </w:tcPr>
          <w:p>
            <w:pPr>
              <w:pStyle w:val="15"/>
            </w:pPr>
            <w:r>
              <w:t>2660.26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340滦南县人民法院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2660.26</w:t>
            </w:r>
          </w:p>
        </w:tc>
        <w:tc>
          <w:tcPr>
            <w:tcW w:w="1134" w:type="dxa"/>
            <w:vAlign w:val="center"/>
          </w:tcPr>
          <w:p>
            <w:pPr>
              <w:pStyle w:val="15"/>
            </w:pPr>
            <w:r>
              <w:t>2380.21</w:t>
            </w:r>
          </w:p>
        </w:tc>
        <w:tc>
          <w:tcPr>
            <w:tcW w:w="1134" w:type="dxa"/>
            <w:vAlign w:val="center"/>
          </w:tcPr>
          <w:p>
            <w:pPr>
              <w:pStyle w:val="15"/>
            </w:pPr>
            <w:r>
              <w:t>2380.21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280.05</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2354.83</w:t>
            </w:r>
          </w:p>
        </w:tc>
        <w:tc>
          <w:tcPr>
            <w:tcW w:w="1134" w:type="dxa"/>
            <w:vAlign w:val="center"/>
          </w:tcPr>
          <w:p>
            <w:pPr>
              <w:pStyle w:val="11"/>
            </w:pPr>
            <w:r>
              <w:t>2074.78</w:t>
            </w:r>
          </w:p>
        </w:tc>
        <w:tc>
          <w:tcPr>
            <w:tcW w:w="1134" w:type="dxa"/>
            <w:vAlign w:val="center"/>
          </w:tcPr>
          <w:p>
            <w:pPr>
              <w:pStyle w:val="11"/>
            </w:pPr>
            <w:r>
              <w:t>2074.78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280.05</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2354.83</w:t>
            </w:r>
          </w:p>
        </w:tc>
        <w:tc>
          <w:tcPr>
            <w:tcW w:w="1134" w:type="dxa"/>
            <w:vAlign w:val="center"/>
          </w:tcPr>
          <w:p>
            <w:pPr>
              <w:pStyle w:val="11"/>
            </w:pPr>
            <w:r>
              <w:t>2074.78</w:t>
            </w:r>
          </w:p>
        </w:tc>
        <w:tc>
          <w:tcPr>
            <w:tcW w:w="1134" w:type="dxa"/>
            <w:vAlign w:val="center"/>
          </w:tcPr>
          <w:p>
            <w:pPr>
              <w:pStyle w:val="11"/>
            </w:pPr>
            <w:r>
              <w:t>2074.78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1733.57</w:t>
            </w:r>
          </w:p>
        </w:tc>
        <w:tc>
          <w:tcPr>
            <w:tcW w:w="1134" w:type="dxa"/>
            <w:vAlign w:val="center"/>
          </w:tcPr>
          <w:p>
            <w:pPr>
              <w:pStyle w:val="11"/>
            </w:pPr>
            <w:r>
              <w:t>1733.57</w:t>
            </w:r>
          </w:p>
        </w:tc>
        <w:tc>
          <w:tcPr>
            <w:tcW w:w="1134" w:type="dxa"/>
            <w:vAlign w:val="center"/>
          </w:tcPr>
          <w:p>
            <w:pPr>
              <w:pStyle w:val="11"/>
            </w:pPr>
            <w:r>
              <w:t>1733.57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2040502</w:t>
            </w:r>
          </w:p>
        </w:tc>
        <w:tc>
          <w:tcPr>
            <w:tcW w:w="1559" w:type="dxa"/>
            <w:vAlign w:val="center"/>
          </w:tcPr>
          <w:p>
            <w:pPr>
              <w:pStyle w:val="12"/>
            </w:pPr>
            <w:r>
              <w:t>一般行政管理事务</w:t>
            </w:r>
          </w:p>
        </w:tc>
        <w:tc>
          <w:tcPr>
            <w:tcW w:w="1134" w:type="dxa"/>
            <w:vAlign w:val="center"/>
          </w:tcPr>
          <w:p>
            <w:pPr>
              <w:pStyle w:val="11"/>
            </w:pPr>
            <w:r>
              <w:t>341.21</w:t>
            </w:r>
          </w:p>
        </w:tc>
        <w:tc>
          <w:tcPr>
            <w:tcW w:w="1134" w:type="dxa"/>
            <w:vAlign w:val="center"/>
          </w:tcPr>
          <w:p>
            <w:pPr>
              <w:pStyle w:val="11"/>
            </w:pPr>
            <w:r>
              <w:t>341.21</w:t>
            </w:r>
          </w:p>
        </w:tc>
        <w:tc>
          <w:tcPr>
            <w:tcW w:w="1134" w:type="dxa"/>
            <w:vAlign w:val="center"/>
          </w:tcPr>
          <w:p>
            <w:pPr>
              <w:pStyle w:val="11"/>
            </w:pPr>
            <w:r>
              <w:t>341.21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280.05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r>
              <w:t>110.21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r>
              <w:t>110.98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52.76</w:t>
            </w:r>
          </w:p>
        </w:tc>
        <w:tc>
          <w:tcPr>
            <w:tcW w:w="1134" w:type="dxa"/>
            <w:vAlign w:val="center"/>
          </w:tcPr>
          <w:p>
            <w:pPr>
              <w:pStyle w:val="11"/>
            </w:pPr>
            <w:r>
              <w:t>52.76</w:t>
            </w:r>
          </w:p>
        </w:tc>
        <w:tc>
          <w:tcPr>
            <w:tcW w:w="1134" w:type="dxa"/>
            <w:vAlign w:val="center"/>
          </w:tcPr>
          <w:p>
            <w:pPr>
              <w:pStyle w:val="11"/>
            </w:pPr>
            <w:r>
              <w:t>52.76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58.22</w:t>
            </w:r>
          </w:p>
        </w:tc>
        <w:tc>
          <w:tcPr>
            <w:tcW w:w="1134" w:type="dxa"/>
            <w:vAlign w:val="center"/>
          </w:tcPr>
          <w:p>
            <w:pPr>
              <w:pStyle w:val="11"/>
            </w:pPr>
            <w:r>
              <w:t>58.22</w:t>
            </w:r>
          </w:p>
        </w:tc>
        <w:tc>
          <w:tcPr>
            <w:tcW w:w="1134" w:type="dxa"/>
            <w:vAlign w:val="center"/>
          </w:tcPr>
          <w:p>
            <w:pPr>
              <w:pStyle w:val="11"/>
            </w:pPr>
            <w:r>
              <w:t>58.22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r>
              <w:t>84.24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340滦南县人民法院</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2660.26</w:t>
            </w:r>
          </w:p>
        </w:tc>
        <w:tc>
          <w:tcPr>
            <w:tcW w:w="1361" w:type="dxa"/>
            <w:vAlign w:val="center"/>
          </w:tcPr>
          <w:p>
            <w:pPr>
              <w:pStyle w:val="15"/>
            </w:pPr>
            <w:r>
              <w:t>2039.00</w:t>
            </w:r>
          </w:p>
        </w:tc>
        <w:tc>
          <w:tcPr>
            <w:tcW w:w="1361" w:type="dxa"/>
            <w:vAlign w:val="center"/>
          </w:tcPr>
          <w:p>
            <w:pPr>
              <w:pStyle w:val="15"/>
            </w:pPr>
            <w:r>
              <w:t>621.26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2354.83</w:t>
            </w:r>
          </w:p>
        </w:tc>
        <w:tc>
          <w:tcPr>
            <w:tcW w:w="1361" w:type="dxa"/>
            <w:vAlign w:val="center"/>
          </w:tcPr>
          <w:p>
            <w:pPr>
              <w:pStyle w:val="11"/>
            </w:pPr>
            <w:r>
              <w:t>1733.57</w:t>
            </w:r>
          </w:p>
        </w:tc>
        <w:tc>
          <w:tcPr>
            <w:tcW w:w="1361" w:type="dxa"/>
            <w:vAlign w:val="center"/>
          </w:tcPr>
          <w:p>
            <w:pPr>
              <w:pStyle w:val="11"/>
            </w:pPr>
            <w:r>
              <w:t>621.26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6" w:type="dxa"/>
            <w:vAlign w:val="center"/>
          </w:tcPr>
          <w:p>
            <w:pPr>
              <w:pStyle w:val="12"/>
            </w:pPr>
            <w:r>
              <w:t>法院</w:t>
            </w:r>
          </w:p>
        </w:tc>
        <w:tc>
          <w:tcPr>
            <w:tcW w:w="1361" w:type="dxa"/>
            <w:vAlign w:val="center"/>
          </w:tcPr>
          <w:p>
            <w:pPr>
              <w:pStyle w:val="11"/>
            </w:pPr>
            <w:r>
              <w:t>2354.83</w:t>
            </w:r>
          </w:p>
        </w:tc>
        <w:tc>
          <w:tcPr>
            <w:tcW w:w="1361" w:type="dxa"/>
            <w:vAlign w:val="center"/>
          </w:tcPr>
          <w:p>
            <w:pPr>
              <w:pStyle w:val="11"/>
            </w:pPr>
            <w:r>
              <w:t>1733.57</w:t>
            </w:r>
          </w:p>
        </w:tc>
        <w:tc>
          <w:tcPr>
            <w:tcW w:w="1361" w:type="dxa"/>
            <w:vAlign w:val="center"/>
          </w:tcPr>
          <w:p>
            <w:pPr>
              <w:pStyle w:val="11"/>
            </w:pPr>
            <w:r>
              <w:t>621.26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6" w:type="dxa"/>
            <w:vAlign w:val="center"/>
          </w:tcPr>
          <w:p>
            <w:pPr>
              <w:pStyle w:val="12"/>
            </w:pPr>
            <w:r>
              <w:t>行政运行</w:t>
            </w:r>
          </w:p>
        </w:tc>
        <w:tc>
          <w:tcPr>
            <w:tcW w:w="1361" w:type="dxa"/>
            <w:vAlign w:val="center"/>
          </w:tcPr>
          <w:p>
            <w:pPr>
              <w:pStyle w:val="11"/>
            </w:pPr>
            <w:r>
              <w:t>1733.57</w:t>
            </w:r>
          </w:p>
        </w:tc>
        <w:tc>
          <w:tcPr>
            <w:tcW w:w="1361" w:type="dxa"/>
            <w:vAlign w:val="center"/>
          </w:tcPr>
          <w:p>
            <w:pPr>
              <w:pStyle w:val="11"/>
            </w:pPr>
            <w:r>
              <w:t>1733.57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2040502</w:t>
            </w:r>
          </w:p>
        </w:tc>
        <w:tc>
          <w:tcPr>
            <w:tcW w:w="4536" w:type="dxa"/>
            <w:vAlign w:val="center"/>
          </w:tcPr>
          <w:p>
            <w:pPr>
              <w:pStyle w:val="12"/>
            </w:pPr>
            <w:r>
              <w:t>一般行政管理事务</w:t>
            </w:r>
          </w:p>
        </w:tc>
        <w:tc>
          <w:tcPr>
            <w:tcW w:w="1361" w:type="dxa"/>
            <w:vAlign w:val="center"/>
          </w:tcPr>
          <w:p>
            <w:pPr>
              <w:pStyle w:val="11"/>
            </w:pPr>
            <w:r>
              <w:t>341.21</w:t>
            </w:r>
          </w:p>
        </w:tc>
        <w:tc>
          <w:tcPr>
            <w:tcW w:w="1361" w:type="dxa"/>
            <w:vAlign w:val="center"/>
          </w:tcPr>
          <w:p>
            <w:pPr>
              <w:pStyle w:val="11"/>
            </w:pPr>
          </w:p>
        </w:tc>
        <w:tc>
          <w:tcPr>
            <w:tcW w:w="1361" w:type="dxa"/>
            <w:vAlign w:val="center"/>
          </w:tcPr>
          <w:p>
            <w:pPr>
              <w:pStyle w:val="11"/>
            </w:pPr>
            <w:r>
              <w:t>341.21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2040599</w:t>
            </w:r>
          </w:p>
        </w:tc>
        <w:tc>
          <w:tcPr>
            <w:tcW w:w="4536" w:type="dxa"/>
            <w:vAlign w:val="center"/>
          </w:tcPr>
          <w:p>
            <w:pPr>
              <w:pStyle w:val="12"/>
            </w:pPr>
            <w:r>
              <w:t>其他法院支出</w:t>
            </w:r>
          </w:p>
        </w:tc>
        <w:tc>
          <w:tcPr>
            <w:tcW w:w="1361" w:type="dxa"/>
            <w:vAlign w:val="center"/>
          </w:tcPr>
          <w:p>
            <w:pPr>
              <w:pStyle w:val="11"/>
            </w:pPr>
            <w:r>
              <w:t>280.05</w:t>
            </w:r>
          </w:p>
        </w:tc>
        <w:tc>
          <w:tcPr>
            <w:tcW w:w="1361" w:type="dxa"/>
            <w:vAlign w:val="center"/>
          </w:tcPr>
          <w:p>
            <w:pPr>
              <w:pStyle w:val="11"/>
            </w:pPr>
          </w:p>
        </w:tc>
        <w:tc>
          <w:tcPr>
            <w:tcW w:w="1361" w:type="dxa"/>
            <w:vAlign w:val="center"/>
          </w:tcPr>
          <w:p>
            <w:pPr>
              <w:pStyle w:val="11"/>
            </w:pPr>
            <w:r>
              <w:t>280.05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110.21</w:t>
            </w:r>
          </w:p>
        </w:tc>
        <w:tc>
          <w:tcPr>
            <w:tcW w:w="1361" w:type="dxa"/>
            <w:vAlign w:val="center"/>
          </w:tcPr>
          <w:p>
            <w:pPr>
              <w:pStyle w:val="11"/>
            </w:pPr>
            <w:r>
              <w:t>110.21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110.21</w:t>
            </w:r>
          </w:p>
        </w:tc>
        <w:tc>
          <w:tcPr>
            <w:tcW w:w="1361" w:type="dxa"/>
            <w:vAlign w:val="center"/>
          </w:tcPr>
          <w:p>
            <w:pPr>
              <w:pStyle w:val="11"/>
            </w:pPr>
            <w:r>
              <w:t>110.21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110.21</w:t>
            </w:r>
          </w:p>
        </w:tc>
        <w:tc>
          <w:tcPr>
            <w:tcW w:w="1361" w:type="dxa"/>
            <w:vAlign w:val="center"/>
          </w:tcPr>
          <w:p>
            <w:pPr>
              <w:pStyle w:val="11"/>
            </w:pPr>
            <w:r>
              <w:t>110.21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110.98</w:t>
            </w:r>
          </w:p>
        </w:tc>
        <w:tc>
          <w:tcPr>
            <w:tcW w:w="1361" w:type="dxa"/>
            <w:vAlign w:val="center"/>
          </w:tcPr>
          <w:p>
            <w:pPr>
              <w:pStyle w:val="11"/>
            </w:pPr>
            <w:r>
              <w:t>110.98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110.98</w:t>
            </w:r>
          </w:p>
        </w:tc>
        <w:tc>
          <w:tcPr>
            <w:tcW w:w="1361" w:type="dxa"/>
            <w:vAlign w:val="center"/>
          </w:tcPr>
          <w:p>
            <w:pPr>
              <w:pStyle w:val="11"/>
            </w:pPr>
            <w:r>
              <w:t>110.98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52.76</w:t>
            </w:r>
          </w:p>
        </w:tc>
        <w:tc>
          <w:tcPr>
            <w:tcW w:w="1361" w:type="dxa"/>
            <w:vAlign w:val="center"/>
          </w:tcPr>
          <w:p>
            <w:pPr>
              <w:pStyle w:val="11"/>
            </w:pPr>
            <w:r>
              <w:t>52.76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58.22</w:t>
            </w:r>
          </w:p>
        </w:tc>
        <w:tc>
          <w:tcPr>
            <w:tcW w:w="1361" w:type="dxa"/>
            <w:vAlign w:val="center"/>
          </w:tcPr>
          <w:p>
            <w:pPr>
              <w:pStyle w:val="11"/>
            </w:pPr>
            <w:r>
              <w:t>58.22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84.24</w:t>
            </w:r>
          </w:p>
        </w:tc>
        <w:tc>
          <w:tcPr>
            <w:tcW w:w="1361" w:type="dxa"/>
            <w:vAlign w:val="center"/>
          </w:tcPr>
          <w:p>
            <w:pPr>
              <w:pStyle w:val="11"/>
            </w:pPr>
            <w:r>
              <w:t>84.24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84.24</w:t>
            </w:r>
          </w:p>
        </w:tc>
        <w:tc>
          <w:tcPr>
            <w:tcW w:w="1361" w:type="dxa"/>
            <w:vAlign w:val="center"/>
          </w:tcPr>
          <w:p>
            <w:pPr>
              <w:pStyle w:val="11"/>
            </w:pPr>
            <w:r>
              <w:t>84.24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84.24</w:t>
            </w:r>
          </w:p>
        </w:tc>
        <w:tc>
          <w:tcPr>
            <w:tcW w:w="1361" w:type="dxa"/>
            <w:vAlign w:val="center"/>
          </w:tcPr>
          <w:p>
            <w:pPr>
              <w:pStyle w:val="11"/>
            </w:pPr>
            <w:r>
              <w:t>84.24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340滦南县人民法院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2380.21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2354.83</w:t>
            </w:r>
          </w:p>
        </w:tc>
        <w:tc>
          <w:tcPr>
            <w:tcW w:w="1474" w:type="dxa"/>
            <w:vAlign w:val="center"/>
          </w:tcPr>
          <w:p>
            <w:pPr>
              <w:pStyle w:val="11"/>
            </w:pPr>
            <w:r>
              <w:t>2354.83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110.21</w:t>
            </w:r>
          </w:p>
        </w:tc>
        <w:tc>
          <w:tcPr>
            <w:tcW w:w="1474" w:type="dxa"/>
            <w:vAlign w:val="center"/>
          </w:tcPr>
          <w:p>
            <w:pPr>
              <w:pStyle w:val="11"/>
            </w:pPr>
            <w:r>
              <w:t>110.21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110.98</w:t>
            </w:r>
          </w:p>
        </w:tc>
        <w:tc>
          <w:tcPr>
            <w:tcW w:w="1474" w:type="dxa"/>
            <w:vAlign w:val="center"/>
          </w:tcPr>
          <w:p>
            <w:pPr>
              <w:pStyle w:val="11"/>
            </w:pPr>
            <w:r>
              <w:t>110.98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84.24</w:t>
            </w:r>
          </w:p>
        </w:tc>
        <w:tc>
          <w:tcPr>
            <w:tcW w:w="1474" w:type="dxa"/>
            <w:vAlign w:val="center"/>
          </w:tcPr>
          <w:p>
            <w:pPr>
              <w:pStyle w:val="11"/>
            </w:pPr>
            <w:r>
              <w:t>84.24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2380.21</w:t>
            </w:r>
          </w:p>
        </w:tc>
        <w:tc>
          <w:tcPr>
            <w:tcW w:w="3402" w:type="dxa"/>
            <w:vAlign w:val="center"/>
          </w:tcPr>
          <w:p>
            <w:pPr>
              <w:pStyle w:val="14"/>
            </w:pPr>
            <w:r>
              <w:t>本年支出合计</w:t>
            </w:r>
          </w:p>
        </w:tc>
        <w:tc>
          <w:tcPr>
            <w:tcW w:w="1474" w:type="dxa"/>
            <w:vAlign w:val="center"/>
          </w:tcPr>
          <w:p>
            <w:pPr>
              <w:pStyle w:val="15"/>
            </w:pPr>
            <w:r>
              <w:t>2660.26</w:t>
            </w:r>
          </w:p>
        </w:tc>
        <w:tc>
          <w:tcPr>
            <w:tcW w:w="1474" w:type="dxa"/>
            <w:vAlign w:val="center"/>
          </w:tcPr>
          <w:p>
            <w:pPr>
              <w:pStyle w:val="15"/>
            </w:pPr>
            <w:r>
              <w:t>2660.26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280.05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280.05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2660.26</w:t>
            </w:r>
          </w:p>
        </w:tc>
        <w:tc>
          <w:tcPr>
            <w:tcW w:w="3402" w:type="dxa"/>
            <w:vAlign w:val="center"/>
          </w:tcPr>
          <w:p>
            <w:pPr>
              <w:pStyle w:val="14"/>
            </w:pPr>
            <w:r>
              <w:t>支出总计</w:t>
            </w:r>
          </w:p>
        </w:tc>
        <w:tc>
          <w:tcPr>
            <w:tcW w:w="1474" w:type="dxa"/>
            <w:vAlign w:val="center"/>
          </w:tcPr>
          <w:p>
            <w:pPr>
              <w:pStyle w:val="15"/>
            </w:pPr>
            <w:r>
              <w:t>2660.26</w:t>
            </w:r>
          </w:p>
        </w:tc>
        <w:tc>
          <w:tcPr>
            <w:tcW w:w="1474" w:type="dxa"/>
            <w:vAlign w:val="center"/>
          </w:tcPr>
          <w:p>
            <w:pPr>
              <w:pStyle w:val="15"/>
            </w:pPr>
            <w:r>
              <w:t>2660.26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340滦南县人民法院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2660.26</w:t>
            </w:r>
          </w:p>
        </w:tc>
        <w:tc>
          <w:tcPr>
            <w:tcW w:w="2551" w:type="dxa"/>
            <w:vAlign w:val="center"/>
          </w:tcPr>
          <w:p>
            <w:pPr>
              <w:pStyle w:val="15"/>
            </w:pPr>
            <w:r>
              <w:t>2039.00</w:t>
            </w:r>
          </w:p>
        </w:tc>
        <w:tc>
          <w:tcPr>
            <w:tcW w:w="2551" w:type="dxa"/>
            <w:vAlign w:val="center"/>
          </w:tcPr>
          <w:p>
            <w:pPr>
              <w:pStyle w:val="15"/>
            </w:pPr>
            <w:r>
              <w:t>621.26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2354.83</w:t>
            </w:r>
          </w:p>
        </w:tc>
        <w:tc>
          <w:tcPr>
            <w:tcW w:w="2551" w:type="dxa"/>
            <w:vAlign w:val="center"/>
          </w:tcPr>
          <w:p>
            <w:pPr>
              <w:pStyle w:val="11"/>
            </w:pPr>
            <w:r>
              <w:t>1733.57</w:t>
            </w:r>
          </w:p>
        </w:tc>
        <w:tc>
          <w:tcPr>
            <w:tcW w:w="2551" w:type="dxa"/>
            <w:vAlign w:val="center"/>
          </w:tcPr>
          <w:p>
            <w:pPr>
              <w:pStyle w:val="11"/>
            </w:pPr>
            <w:r>
              <w:t>621.26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2354.83</w:t>
            </w:r>
          </w:p>
        </w:tc>
        <w:tc>
          <w:tcPr>
            <w:tcW w:w="2551" w:type="dxa"/>
            <w:vAlign w:val="center"/>
          </w:tcPr>
          <w:p>
            <w:pPr>
              <w:pStyle w:val="11"/>
            </w:pPr>
            <w:r>
              <w:t>1733.57</w:t>
            </w:r>
          </w:p>
        </w:tc>
        <w:tc>
          <w:tcPr>
            <w:tcW w:w="2551" w:type="dxa"/>
            <w:vAlign w:val="center"/>
          </w:tcPr>
          <w:p>
            <w:pPr>
              <w:pStyle w:val="11"/>
            </w:pPr>
            <w:r>
              <w:t>621.26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1733.57</w:t>
            </w:r>
          </w:p>
        </w:tc>
        <w:tc>
          <w:tcPr>
            <w:tcW w:w="2551" w:type="dxa"/>
            <w:vAlign w:val="center"/>
          </w:tcPr>
          <w:p>
            <w:pPr>
              <w:pStyle w:val="11"/>
            </w:pPr>
            <w:r>
              <w:t>1733.57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2040502</w:t>
            </w:r>
          </w:p>
        </w:tc>
        <w:tc>
          <w:tcPr>
            <w:tcW w:w="4535" w:type="dxa"/>
            <w:vAlign w:val="center"/>
          </w:tcPr>
          <w:p>
            <w:pPr>
              <w:pStyle w:val="12"/>
            </w:pPr>
            <w:r>
              <w:t>一般行政管理事务</w:t>
            </w:r>
          </w:p>
        </w:tc>
        <w:tc>
          <w:tcPr>
            <w:tcW w:w="2551" w:type="dxa"/>
            <w:vAlign w:val="center"/>
          </w:tcPr>
          <w:p>
            <w:pPr>
              <w:pStyle w:val="11"/>
            </w:pPr>
            <w:r>
              <w:t>341.21</w:t>
            </w:r>
          </w:p>
        </w:tc>
        <w:tc>
          <w:tcPr>
            <w:tcW w:w="2551" w:type="dxa"/>
            <w:vAlign w:val="center"/>
          </w:tcPr>
          <w:p>
            <w:pPr>
              <w:pStyle w:val="11"/>
            </w:pPr>
          </w:p>
        </w:tc>
        <w:tc>
          <w:tcPr>
            <w:tcW w:w="2551" w:type="dxa"/>
            <w:vAlign w:val="center"/>
          </w:tcPr>
          <w:p>
            <w:pPr>
              <w:pStyle w:val="11"/>
            </w:pPr>
            <w:r>
              <w:t>341.21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280.05</w:t>
            </w:r>
          </w:p>
        </w:tc>
        <w:tc>
          <w:tcPr>
            <w:tcW w:w="2551" w:type="dxa"/>
            <w:vAlign w:val="center"/>
          </w:tcPr>
          <w:p>
            <w:pPr>
              <w:pStyle w:val="11"/>
            </w:pPr>
          </w:p>
        </w:tc>
        <w:tc>
          <w:tcPr>
            <w:tcW w:w="2551" w:type="dxa"/>
            <w:vAlign w:val="center"/>
          </w:tcPr>
          <w:p>
            <w:pPr>
              <w:pStyle w:val="11"/>
            </w:pPr>
            <w:r>
              <w:t>280.05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110.21</w:t>
            </w:r>
          </w:p>
        </w:tc>
        <w:tc>
          <w:tcPr>
            <w:tcW w:w="2551" w:type="dxa"/>
            <w:vAlign w:val="center"/>
          </w:tcPr>
          <w:p>
            <w:pPr>
              <w:pStyle w:val="11"/>
            </w:pPr>
            <w:r>
              <w:t>110.21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110.21</w:t>
            </w:r>
          </w:p>
        </w:tc>
        <w:tc>
          <w:tcPr>
            <w:tcW w:w="2551" w:type="dxa"/>
            <w:vAlign w:val="center"/>
          </w:tcPr>
          <w:p>
            <w:pPr>
              <w:pStyle w:val="11"/>
            </w:pPr>
            <w:r>
              <w:t>110.21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110.21</w:t>
            </w:r>
          </w:p>
        </w:tc>
        <w:tc>
          <w:tcPr>
            <w:tcW w:w="2551" w:type="dxa"/>
            <w:vAlign w:val="center"/>
          </w:tcPr>
          <w:p>
            <w:pPr>
              <w:pStyle w:val="11"/>
            </w:pPr>
            <w:r>
              <w:t>110.21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110.98</w:t>
            </w:r>
          </w:p>
        </w:tc>
        <w:tc>
          <w:tcPr>
            <w:tcW w:w="2551" w:type="dxa"/>
            <w:vAlign w:val="center"/>
          </w:tcPr>
          <w:p>
            <w:pPr>
              <w:pStyle w:val="11"/>
            </w:pPr>
            <w:r>
              <w:t>110.98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110.98</w:t>
            </w:r>
          </w:p>
        </w:tc>
        <w:tc>
          <w:tcPr>
            <w:tcW w:w="2551" w:type="dxa"/>
            <w:vAlign w:val="center"/>
          </w:tcPr>
          <w:p>
            <w:pPr>
              <w:pStyle w:val="11"/>
            </w:pPr>
            <w:r>
              <w:t>110.98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52.76</w:t>
            </w:r>
          </w:p>
        </w:tc>
        <w:tc>
          <w:tcPr>
            <w:tcW w:w="2551" w:type="dxa"/>
            <w:vAlign w:val="center"/>
          </w:tcPr>
          <w:p>
            <w:pPr>
              <w:pStyle w:val="11"/>
            </w:pPr>
            <w:r>
              <w:t>52.76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58.22</w:t>
            </w:r>
          </w:p>
        </w:tc>
        <w:tc>
          <w:tcPr>
            <w:tcW w:w="2551" w:type="dxa"/>
            <w:vAlign w:val="center"/>
          </w:tcPr>
          <w:p>
            <w:pPr>
              <w:pStyle w:val="11"/>
            </w:pPr>
            <w:r>
              <w:t>58.22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84.24</w:t>
            </w:r>
          </w:p>
        </w:tc>
        <w:tc>
          <w:tcPr>
            <w:tcW w:w="2551" w:type="dxa"/>
            <w:vAlign w:val="center"/>
          </w:tcPr>
          <w:p>
            <w:pPr>
              <w:pStyle w:val="11"/>
            </w:pPr>
            <w:r>
              <w:t>84.24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84.24</w:t>
            </w:r>
          </w:p>
        </w:tc>
        <w:tc>
          <w:tcPr>
            <w:tcW w:w="2551" w:type="dxa"/>
            <w:vAlign w:val="center"/>
          </w:tcPr>
          <w:p>
            <w:pPr>
              <w:pStyle w:val="11"/>
            </w:pPr>
            <w:r>
              <w:t>84.24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84.24</w:t>
            </w:r>
          </w:p>
        </w:tc>
        <w:tc>
          <w:tcPr>
            <w:tcW w:w="2551" w:type="dxa"/>
            <w:vAlign w:val="center"/>
          </w:tcPr>
          <w:p>
            <w:pPr>
              <w:pStyle w:val="11"/>
            </w:pPr>
            <w:r>
              <w:t>84.24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340滦南县人民法院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2039.00</w:t>
            </w:r>
          </w:p>
        </w:tc>
        <w:tc>
          <w:tcPr>
            <w:tcW w:w="2551" w:type="dxa"/>
            <w:vAlign w:val="center"/>
          </w:tcPr>
          <w:p>
            <w:pPr>
              <w:pStyle w:val="15"/>
            </w:pPr>
            <w:r>
              <w:t>1813.60</w:t>
            </w:r>
          </w:p>
        </w:tc>
        <w:tc>
          <w:tcPr>
            <w:tcW w:w="2552" w:type="dxa"/>
            <w:vAlign w:val="center"/>
          </w:tcPr>
          <w:p>
            <w:pPr>
              <w:pStyle w:val="15"/>
            </w:pPr>
            <w:r>
              <w:t>225.40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1711.97</w:t>
            </w:r>
          </w:p>
        </w:tc>
        <w:tc>
          <w:tcPr>
            <w:tcW w:w="2551" w:type="dxa"/>
            <w:vAlign w:val="center"/>
          </w:tcPr>
          <w:p>
            <w:pPr>
              <w:pStyle w:val="11"/>
            </w:pPr>
            <w:r>
              <w:t>1711.97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391.15</w:t>
            </w:r>
          </w:p>
        </w:tc>
        <w:tc>
          <w:tcPr>
            <w:tcW w:w="2551" w:type="dxa"/>
            <w:vAlign w:val="center"/>
          </w:tcPr>
          <w:p>
            <w:pPr>
              <w:pStyle w:val="11"/>
            </w:pPr>
            <w:r>
              <w:t>391.15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309.45</w:t>
            </w:r>
          </w:p>
        </w:tc>
        <w:tc>
          <w:tcPr>
            <w:tcW w:w="2551" w:type="dxa"/>
            <w:vAlign w:val="center"/>
          </w:tcPr>
          <w:p>
            <w:pPr>
              <w:pStyle w:val="11"/>
            </w:pPr>
            <w:r>
              <w:t>309.45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69.68</w:t>
            </w:r>
          </w:p>
        </w:tc>
        <w:tc>
          <w:tcPr>
            <w:tcW w:w="2551" w:type="dxa"/>
            <w:vAlign w:val="center"/>
          </w:tcPr>
          <w:p>
            <w:pPr>
              <w:pStyle w:val="11"/>
            </w:pPr>
            <w:r>
              <w:t>69.68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110.21</w:t>
            </w:r>
          </w:p>
        </w:tc>
        <w:tc>
          <w:tcPr>
            <w:tcW w:w="2551" w:type="dxa"/>
            <w:vAlign w:val="center"/>
          </w:tcPr>
          <w:p>
            <w:pPr>
              <w:pStyle w:val="11"/>
            </w:pPr>
            <w:r>
              <w:t>110.21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52.76</w:t>
            </w:r>
          </w:p>
        </w:tc>
        <w:tc>
          <w:tcPr>
            <w:tcW w:w="2551" w:type="dxa"/>
            <w:vAlign w:val="center"/>
          </w:tcPr>
          <w:p>
            <w:pPr>
              <w:pStyle w:val="11"/>
            </w:pPr>
            <w:r>
              <w:t>52.76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58.22</w:t>
            </w:r>
          </w:p>
        </w:tc>
        <w:tc>
          <w:tcPr>
            <w:tcW w:w="2551" w:type="dxa"/>
            <w:vAlign w:val="center"/>
          </w:tcPr>
          <w:p>
            <w:pPr>
              <w:pStyle w:val="11"/>
            </w:pPr>
            <w:r>
              <w:t>58.22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3.91</w:t>
            </w:r>
          </w:p>
        </w:tc>
        <w:tc>
          <w:tcPr>
            <w:tcW w:w="2551" w:type="dxa"/>
            <w:vAlign w:val="center"/>
          </w:tcPr>
          <w:p>
            <w:pPr>
              <w:pStyle w:val="11"/>
            </w:pPr>
            <w:r>
              <w:t>3.91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84.24</w:t>
            </w:r>
          </w:p>
        </w:tc>
        <w:tc>
          <w:tcPr>
            <w:tcW w:w="2551" w:type="dxa"/>
            <w:vAlign w:val="center"/>
          </w:tcPr>
          <w:p>
            <w:pPr>
              <w:pStyle w:val="11"/>
            </w:pPr>
            <w:r>
              <w:t>84.24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632.35</w:t>
            </w:r>
          </w:p>
        </w:tc>
        <w:tc>
          <w:tcPr>
            <w:tcW w:w="2551" w:type="dxa"/>
            <w:vAlign w:val="center"/>
          </w:tcPr>
          <w:p>
            <w:pPr>
              <w:pStyle w:val="11"/>
            </w:pPr>
            <w:r>
              <w:t>632.35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225.40</w:t>
            </w:r>
          </w:p>
        </w:tc>
        <w:tc>
          <w:tcPr>
            <w:tcW w:w="2551" w:type="dxa"/>
            <w:vAlign w:val="center"/>
          </w:tcPr>
          <w:p>
            <w:pPr>
              <w:pStyle w:val="11"/>
            </w:pPr>
          </w:p>
        </w:tc>
        <w:tc>
          <w:tcPr>
            <w:tcW w:w="2552" w:type="dxa"/>
            <w:vAlign w:val="center"/>
          </w:tcPr>
          <w:p>
            <w:pPr>
              <w:pStyle w:val="11"/>
            </w:pPr>
            <w:r>
              <w:t>225.40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4.64</w:t>
            </w:r>
          </w:p>
        </w:tc>
        <w:tc>
          <w:tcPr>
            <w:tcW w:w="2551" w:type="dxa"/>
            <w:vAlign w:val="center"/>
          </w:tcPr>
          <w:p>
            <w:pPr>
              <w:pStyle w:val="11"/>
            </w:pPr>
          </w:p>
        </w:tc>
        <w:tc>
          <w:tcPr>
            <w:tcW w:w="2552" w:type="dxa"/>
            <w:vAlign w:val="center"/>
          </w:tcPr>
          <w:p>
            <w:pPr>
              <w:pStyle w:val="11"/>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2.82</w:t>
            </w:r>
          </w:p>
        </w:tc>
        <w:tc>
          <w:tcPr>
            <w:tcW w:w="2551" w:type="dxa"/>
            <w:vAlign w:val="center"/>
          </w:tcPr>
          <w:p>
            <w:pPr>
              <w:pStyle w:val="11"/>
            </w:pPr>
          </w:p>
        </w:tc>
        <w:tc>
          <w:tcPr>
            <w:tcW w:w="2552" w:type="dxa"/>
            <w:vAlign w:val="center"/>
          </w:tcPr>
          <w:p>
            <w:pPr>
              <w:pStyle w:val="11"/>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50.00</w:t>
            </w:r>
          </w:p>
        </w:tc>
        <w:tc>
          <w:tcPr>
            <w:tcW w:w="2551" w:type="dxa"/>
            <w:vAlign w:val="center"/>
          </w:tcPr>
          <w:p>
            <w:pPr>
              <w:pStyle w:val="11"/>
            </w:pPr>
          </w:p>
        </w:tc>
        <w:tc>
          <w:tcPr>
            <w:tcW w:w="2552"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12.42</w:t>
            </w:r>
          </w:p>
        </w:tc>
        <w:tc>
          <w:tcPr>
            <w:tcW w:w="2551" w:type="dxa"/>
            <w:vAlign w:val="center"/>
          </w:tcPr>
          <w:p>
            <w:pPr>
              <w:pStyle w:val="11"/>
            </w:pPr>
          </w:p>
        </w:tc>
        <w:tc>
          <w:tcPr>
            <w:tcW w:w="2552" w:type="dxa"/>
            <w:vAlign w:val="center"/>
          </w:tcPr>
          <w:p>
            <w:pPr>
              <w:pStyle w:val="11"/>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40.00</w:t>
            </w:r>
          </w:p>
        </w:tc>
        <w:tc>
          <w:tcPr>
            <w:tcW w:w="2551" w:type="dxa"/>
            <w:vAlign w:val="center"/>
          </w:tcPr>
          <w:p>
            <w:pPr>
              <w:pStyle w:val="11"/>
            </w:pPr>
          </w:p>
        </w:tc>
        <w:tc>
          <w:tcPr>
            <w:tcW w:w="2552"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12.02</w:t>
            </w:r>
          </w:p>
        </w:tc>
        <w:tc>
          <w:tcPr>
            <w:tcW w:w="2551" w:type="dxa"/>
            <w:vAlign w:val="center"/>
          </w:tcPr>
          <w:p>
            <w:pPr>
              <w:pStyle w:val="11"/>
            </w:pPr>
          </w:p>
        </w:tc>
        <w:tc>
          <w:tcPr>
            <w:tcW w:w="2552" w:type="dxa"/>
            <w:vAlign w:val="center"/>
          </w:tcPr>
          <w:p>
            <w:pPr>
              <w:pStyle w:val="11"/>
            </w:pPr>
            <w:r>
              <w:t>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10.90</w:t>
            </w:r>
          </w:p>
        </w:tc>
        <w:tc>
          <w:tcPr>
            <w:tcW w:w="2551" w:type="dxa"/>
            <w:vAlign w:val="center"/>
          </w:tcPr>
          <w:p>
            <w:pPr>
              <w:pStyle w:val="11"/>
            </w:pPr>
          </w:p>
        </w:tc>
        <w:tc>
          <w:tcPr>
            <w:tcW w:w="2552" w:type="dxa"/>
            <w:vAlign w:val="center"/>
          </w:tcPr>
          <w:p>
            <w:pPr>
              <w:pStyle w:val="11"/>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12.00</w:t>
            </w:r>
          </w:p>
        </w:tc>
        <w:tc>
          <w:tcPr>
            <w:tcW w:w="2551" w:type="dxa"/>
            <w:vAlign w:val="center"/>
          </w:tcPr>
          <w:p>
            <w:pPr>
              <w:pStyle w:val="11"/>
            </w:pPr>
          </w:p>
        </w:tc>
        <w:tc>
          <w:tcPr>
            <w:tcW w:w="2552"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9.78</w:t>
            </w:r>
          </w:p>
        </w:tc>
        <w:tc>
          <w:tcPr>
            <w:tcW w:w="2551" w:type="dxa"/>
            <w:vAlign w:val="center"/>
          </w:tcPr>
          <w:p>
            <w:pPr>
              <w:pStyle w:val="11"/>
            </w:pPr>
          </w:p>
        </w:tc>
        <w:tc>
          <w:tcPr>
            <w:tcW w:w="2552" w:type="dxa"/>
            <w:vAlign w:val="center"/>
          </w:tcPr>
          <w:p>
            <w:pPr>
              <w:pStyle w:val="11"/>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7.81</w:t>
            </w:r>
          </w:p>
        </w:tc>
        <w:tc>
          <w:tcPr>
            <w:tcW w:w="2551" w:type="dxa"/>
            <w:vAlign w:val="center"/>
          </w:tcPr>
          <w:p>
            <w:pPr>
              <w:pStyle w:val="11"/>
            </w:pPr>
          </w:p>
        </w:tc>
        <w:tc>
          <w:tcPr>
            <w:tcW w:w="2552" w:type="dxa"/>
            <w:vAlign w:val="center"/>
          </w:tcPr>
          <w:p>
            <w:pPr>
              <w:pStyle w:val="11"/>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56.32</w:t>
            </w:r>
          </w:p>
        </w:tc>
        <w:tc>
          <w:tcPr>
            <w:tcW w:w="2551" w:type="dxa"/>
            <w:vAlign w:val="center"/>
          </w:tcPr>
          <w:p>
            <w:pPr>
              <w:pStyle w:val="11"/>
            </w:pPr>
          </w:p>
        </w:tc>
        <w:tc>
          <w:tcPr>
            <w:tcW w:w="2552" w:type="dxa"/>
            <w:vAlign w:val="center"/>
          </w:tcPr>
          <w:p>
            <w:pPr>
              <w:pStyle w:val="11"/>
            </w:pPr>
            <w:r>
              <w:t>56.32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6.69</w:t>
            </w:r>
          </w:p>
        </w:tc>
        <w:tc>
          <w:tcPr>
            <w:tcW w:w="2551" w:type="dxa"/>
            <w:vAlign w:val="center"/>
          </w:tcPr>
          <w:p>
            <w:pPr>
              <w:pStyle w:val="11"/>
            </w:pPr>
          </w:p>
        </w:tc>
        <w:tc>
          <w:tcPr>
            <w:tcW w:w="2552" w:type="dxa"/>
            <w:vAlign w:val="center"/>
          </w:tcPr>
          <w:p>
            <w:pPr>
              <w:pStyle w:val="11"/>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101.63</w:t>
            </w:r>
          </w:p>
        </w:tc>
        <w:tc>
          <w:tcPr>
            <w:tcW w:w="2551" w:type="dxa"/>
            <w:vAlign w:val="center"/>
          </w:tcPr>
          <w:p>
            <w:pPr>
              <w:pStyle w:val="11"/>
            </w:pPr>
            <w:r>
              <w:t>101.63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61.59</w:t>
            </w:r>
          </w:p>
        </w:tc>
        <w:tc>
          <w:tcPr>
            <w:tcW w:w="2551" w:type="dxa"/>
            <w:vAlign w:val="center"/>
          </w:tcPr>
          <w:p>
            <w:pPr>
              <w:pStyle w:val="11"/>
            </w:pPr>
            <w:r>
              <w:t>61.59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1.53</w:t>
            </w:r>
          </w:p>
        </w:tc>
        <w:tc>
          <w:tcPr>
            <w:tcW w:w="2551" w:type="dxa"/>
            <w:vAlign w:val="center"/>
          </w:tcPr>
          <w:p>
            <w:pPr>
              <w:pStyle w:val="11"/>
            </w:pPr>
            <w:r>
              <w:t>1.53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38.47</w:t>
            </w:r>
          </w:p>
        </w:tc>
        <w:tc>
          <w:tcPr>
            <w:tcW w:w="2551" w:type="dxa"/>
            <w:vAlign w:val="center"/>
          </w:tcPr>
          <w:p>
            <w:pPr>
              <w:pStyle w:val="11"/>
            </w:pPr>
            <w:r>
              <w:t>38.47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340滦南县人民法院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340滦南县人民法院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340滦南县人民法院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7.81</w:t>
            </w:r>
          </w:p>
        </w:tc>
        <w:tc>
          <w:tcPr>
            <w:tcW w:w="2381" w:type="dxa"/>
            <w:vAlign w:val="center"/>
          </w:tcPr>
          <w:p>
            <w:pPr>
              <w:pStyle w:val="15"/>
            </w:pPr>
            <w:r>
              <w:t>7.81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7.81</w:t>
            </w:r>
          </w:p>
        </w:tc>
        <w:tc>
          <w:tcPr>
            <w:tcW w:w="2381" w:type="dxa"/>
            <w:vAlign w:val="center"/>
          </w:tcPr>
          <w:p>
            <w:pPr>
              <w:pStyle w:val="11"/>
            </w:pPr>
            <w:r>
              <w:t>7.81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7.81</w:t>
            </w:r>
          </w:p>
        </w:tc>
        <w:tc>
          <w:tcPr>
            <w:tcW w:w="2381" w:type="dxa"/>
            <w:vAlign w:val="center"/>
          </w:tcPr>
          <w:p>
            <w:pPr>
              <w:pStyle w:val="11"/>
            </w:pPr>
            <w:r>
              <w:t>7.81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7.81</w:t>
            </w:r>
          </w:p>
        </w:tc>
        <w:tc>
          <w:tcPr>
            <w:tcW w:w="2381" w:type="dxa"/>
            <w:vAlign w:val="center"/>
          </w:tcPr>
          <w:p>
            <w:pPr>
              <w:pStyle w:val="11"/>
            </w:pPr>
            <w:r>
              <w:t>7.81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滦南县人民法院2024年部门预算信息公开情况说明</w:t>
      </w:r>
    </w:p>
    <w:p>
      <w:pPr>
        <w:jc w:val="center"/>
      </w:pPr>
      <w:r>
        <w:rPr>
          <w:rFonts w:ascii="方正小标宋_GBK" w:hAnsi="方正小标宋_GBK" w:eastAsia="方正小标宋_GBK" w:cs="方正小标宋_GBK"/>
          <w:color w:val="000000"/>
          <w:sz w:val="44"/>
        </w:rPr>
        <w:t>滦南县人民法院2024年部门预算信息公开情况说明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按照《中华人民共和国预算法》、《地方预决算公开操作规程》和《关于进一步推进预算公开工作的实施意见》规定，现将滦南县人民法院2024年部门预算公开如下：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根据《滦南县人民法院职能配置、内设机构和人员编制规定》，滦南县人民法院的主要职责是：</w:t>
      </w:r>
    </w:p>
    <w:p>
      <w:pPr>
        <w:pStyle w:val="17"/>
        <w:numPr>
          <w:ilvl w:val="0"/>
          <w:numId w:val="1"/>
        </w:numPr>
      </w:pPr>
      <w:r>
        <w:t>依法审理法律规定由基层人民法院管辖、中级人民法院指定管辖或者认为应当由本院审</w:t>
      </w:r>
      <w:r>
        <w:rPr>
          <w:rFonts w:hint="eastAsia"/>
          <w:lang w:eastAsia="zh-CN"/>
        </w:rPr>
        <w:t>。</w:t>
      </w:r>
    </w:p>
    <w:p>
      <w:pPr>
        <w:pStyle w:val="17"/>
        <w:numPr>
          <w:numId w:val="0"/>
        </w:numPr>
        <w:ind w:firstLine="560" w:firstLineChars="200"/>
      </w:pPr>
      <w:r>
        <w:t>（二）依法审理中级人民法院指定再审的案件和市人民检察院抗诉的案件；受理当事人不服本院发生法律效力的判决、裁定并提起申诉的民事、刑事、行政诉讼案件。</w:t>
      </w:r>
    </w:p>
    <w:p>
      <w:pPr>
        <w:pStyle w:val="17"/>
      </w:pPr>
      <w:r>
        <w:t>（三）对法律规定、规章等草案提出意见，对案件审理中发现的问题提出司法建议。</w:t>
      </w:r>
    </w:p>
    <w:p>
      <w:pPr>
        <w:pStyle w:val="17"/>
      </w:pPr>
      <w:r>
        <w:t>（四）指导基层法庭工作；负责全院的思想政治、教育培训和干部管理工作；负责全院财务、专项投资的计划管理及分配。</w:t>
      </w:r>
    </w:p>
    <w:p>
      <w:pPr>
        <w:pStyle w:val="17"/>
      </w:pPr>
      <w:r>
        <w:t>（五）负责全院的监察工作；管理人民法院司法警察工作；做好本院行政、后勤事务管理和服务工作；积极参与社会治安综合治理。</w:t>
      </w:r>
    </w:p>
    <w:p>
      <w:pPr>
        <w:pStyle w:val="17"/>
      </w:pPr>
      <w:r>
        <w:t>（六）承办其它应由基层人民法院负责的工作。</w:t>
      </w:r>
    </w:p>
    <w:p>
      <w:pPr>
        <w:pStyle w:val="17"/>
      </w:pPr>
    </w:p>
    <w:p>
      <w:pPr>
        <w:pStyle w:val="17"/>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滦南县人民法院本级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按照预算管理有关规定，目前部门预算的编制实行综合预算管理，即全部收入和支出都反映在预算中。滦南县人民法院机关及所属事业单位的收支包含在部门预算中。</w:t>
      </w:r>
    </w:p>
    <w:p>
      <w:pPr>
        <w:pStyle w:val="18"/>
      </w:pPr>
      <w:r>
        <w:rPr>
          <w:rFonts w:hint="eastAsia"/>
          <w:lang w:eastAsia="zh-CN"/>
        </w:rPr>
        <w:t>（</w:t>
      </w:r>
      <w:r>
        <w:rPr>
          <w:rFonts w:hint="eastAsia"/>
          <w:lang w:val="en-US" w:eastAsia="zh-CN"/>
        </w:rPr>
        <w:t>一</w:t>
      </w:r>
      <w:r>
        <w:rPr>
          <w:rFonts w:hint="eastAsia"/>
          <w:lang w:eastAsia="zh-CN"/>
        </w:rPr>
        <w:t>）</w:t>
      </w:r>
      <w:r>
        <w:t>收入说明</w:t>
      </w:r>
    </w:p>
    <w:p>
      <w:pPr>
        <w:pStyle w:val="18"/>
      </w:pPr>
      <w:r>
        <w:t>反映本部门当年全部收入。2024年预算收入2660.26万元，其中：一般公共预算收入2380.21万元，基金预算收入0.00万元，国有资本经营预算收入0.00万元，财政专户核拨收入0.00万元，单位资金收入0.00万元，上年结转结余280.05万元。</w:t>
      </w:r>
    </w:p>
    <w:p>
      <w:pPr>
        <w:pStyle w:val="18"/>
      </w:pPr>
      <w:r>
        <w:rPr>
          <w:rFonts w:hint="eastAsia"/>
          <w:lang w:eastAsia="zh-CN"/>
        </w:rPr>
        <w:t>（</w:t>
      </w:r>
      <w:r>
        <w:rPr>
          <w:rFonts w:hint="eastAsia"/>
          <w:lang w:val="en-US" w:eastAsia="zh-CN"/>
        </w:rPr>
        <w:t>二</w:t>
      </w:r>
      <w:r>
        <w:rPr>
          <w:rFonts w:hint="eastAsia"/>
          <w:lang w:eastAsia="zh-CN"/>
        </w:rPr>
        <w:t>）</w:t>
      </w:r>
      <w:r>
        <w:t>支出说明</w:t>
      </w:r>
    </w:p>
    <w:p>
      <w:pPr>
        <w:pStyle w:val="18"/>
      </w:pPr>
      <w:r>
        <w:t>收支预算总表支出栏、基本支出表、项目支出表按经济分类和支出功能分类科目编制，反映滦南县人民法院年度部门预算中支出预算的总体情况。2024年支出预算2660.26万元，其中基本支出2039.00万元，包括人员经费1813.60万元和日常公用经费225.40万元；项目支出621.26万元，主要为2023年上级转移支付资金结转项目资金280.05万元，其他专项（一般公共预算）资金341.21万元。</w:t>
      </w:r>
    </w:p>
    <w:p>
      <w:pPr>
        <w:pStyle w:val="18"/>
      </w:pPr>
      <w:r>
        <w:rPr>
          <w:rFonts w:hint="eastAsia"/>
          <w:lang w:eastAsia="zh-CN"/>
        </w:rPr>
        <w:t>（</w:t>
      </w:r>
      <w:r>
        <w:rPr>
          <w:rFonts w:hint="eastAsia"/>
          <w:lang w:val="en-US" w:eastAsia="zh-CN"/>
        </w:rPr>
        <w:t>三</w:t>
      </w:r>
      <w:r>
        <w:rPr>
          <w:rFonts w:hint="eastAsia"/>
          <w:lang w:eastAsia="zh-CN"/>
        </w:rPr>
        <w:t>）</w:t>
      </w:r>
      <w:r>
        <w:t>比上年增减情况</w:t>
      </w:r>
    </w:p>
    <w:p>
      <w:pPr>
        <w:pStyle w:val="32"/>
        <w:rPr>
          <w:rFonts w:hint="default" w:ascii="Times New Roman" w:hAnsi="Times New Roman" w:eastAsia="方正仿宋_GBK" w:cs="Times New Roman"/>
          <w:kern w:val="0"/>
          <w:sz w:val="28"/>
          <w:szCs w:val="24"/>
          <w:lang w:val="en-US" w:eastAsia="zh-CN" w:bidi="ar-SA"/>
        </w:rPr>
      </w:pPr>
      <w:r>
        <w:t>2024年预算收支安排2660.26万元，较2023年预算增加</w:t>
      </w:r>
      <w:r>
        <w:rPr>
          <w:rFonts w:hint="eastAsia"/>
          <w:lang w:val="en-US" w:eastAsia="zh-CN"/>
        </w:rPr>
        <w:t>299.33</w:t>
      </w:r>
      <w:r>
        <w:t>万元，其中：</w:t>
      </w:r>
      <w:r>
        <w:rPr>
          <w:rFonts w:ascii="Times New Roman" w:hAnsi="Times New Roman" w:eastAsia="方正仿宋_GBK" w:cs="Times New Roman"/>
          <w:kern w:val="0"/>
          <w:sz w:val="28"/>
          <w:szCs w:val="24"/>
          <w:lang w:val="en-US" w:eastAsia="uk-UA" w:bidi="ar-SA"/>
        </w:rPr>
        <w:t>人员经费</w:t>
      </w:r>
      <w:r>
        <w:rPr>
          <w:rFonts w:hint="eastAsia" w:ascii="Times New Roman" w:hAnsi="Times New Roman" w:cs="Times New Roman"/>
          <w:kern w:val="0"/>
          <w:sz w:val="28"/>
          <w:szCs w:val="24"/>
          <w:lang w:val="en-US" w:eastAsia="zh-CN" w:bidi="ar-SA"/>
        </w:rPr>
        <w:t>减少0.85</w:t>
      </w:r>
      <w:r>
        <w:rPr>
          <w:rFonts w:ascii="Times New Roman" w:hAnsi="Times New Roman" w:eastAsia="方正仿宋_GBK" w:cs="Times New Roman"/>
          <w:kern w:val="0"/>
          <w:sz w:val="28"/>
          <w:szCs w:val="24"/>
          <w:lang w:val="en-US" w:eastAsia="uk-UA" w:bidi="ar-SA"/>
        </w:rPr>
        <w:t>万元，</w:t>
      </w:r>
      <w:r>
        <w:rPr>
          <w:rFonts w:hint="eastAsia" w:ascii="Times New Roman" w:hAnsi="Times New Roman" w:cs="Times New Roman"/>
          <w:kern w:val="0"/>
          <w:sz w:val="28"/>
          <w:szCs w:val="24"/>
          <w:lang w:val="en-US" w:eastAsia="zh-CN" w:bidi="ar-SA"/>
        </w:rPr>
        <w:t>主要</w:t>
      </w:r>
      <w:r>
        <w:rPr>
          <w:rFonts w:ascii="Times New Roman" w:hAnsi="Times New Roman" w:eastAsia="方正仿宋_GBK" w:cs="Times New Roman"/>
          <w:kern w:val="0"/>
          <w:sz w:val="28"/>
          <w:szCs w:val="24"/>
          <w:lang w:val="en-US" w:eastAsia="uk-UA" w:bidi="ar-SA"/>
        </w:rPr>
        <w:t>原因为人员</w:t>
      </w:r>
      <w:r>
        <w:rPr>
          <w:rFonts w:hint="eastAsia" w:ascii="Times New Roman" w:hAnsi="Times New Roman" w:cs="Times New Roman"/>
          <w:kern w:val="0"/>
          <w:sz w:val="28"/>
          <w:szCs w:val="24"/>
          <w:lang w:val="en-US" w:eastAsia="zh-CN" w:bidi="ar-SA"/>
        </w:rPr>
        <w:t>变动导致的</w:t>
      </w:r>
      <w:r>
        <w:rPr>
          <w:rFonts w:ascii="Times New Roman" w:hAnsi="Times New Roman" w:eastAsia="方正仿宋_GBK" w:cs="Times New Roman"/>
          <w:kern w:val="0"/>
          <w:sz w:val="28"/>
          <w:szCs w:val="24"/>
          <w:lang w:val="en-US" w:eastAsia="uk-UA" w:bidi="ar-SA"/>
        </w:rPr>
        <w:t>人员经费</w:t>
      </w:r>
      <w:r>
        <w:rPr>
          <w:rFonts w:hint="eastAsia" w:ascii="Times New Roman" w:hAnsi="Times New Roman" w:cs="Times New Roman"/>
          <w:kern w:val="0"/>
          <w:sz w:val="28"/>
          <w:szCs w:val="24"/>
          <w:lang w:val="en-US" w:eastAsia="zh-CN" w:bidi="ar-SA"/>
        </w:rPr>
        <w:t>减少</w:t>
      </w:r>
      <w:r>
        <w:rPr>
          <w:rFonts w:ascii="Times New Roman" w:hAnsi="Times New Roman" w:eastAsia="方正仿宋_GBK" w:cs="Times New Roman"/>
          <w:kern w:val="0"/>
          <w:sz w:val="28"/>
          <w:szCs w:val="24"/>
          <w:lang w:val="en-US" w:eastAsia="uk-UA" w:bidi="ar-SA"/>
        </w:rPr>
        <w:t>；正常公用经费增长</w:t>
      </w:r>
      <w:r>
        <w:rPr>
          <w:rFonts w:hint="eastAsia" w:ascii="Times New Roman" w:hAnsi="Times New Roman" w:cs="Times New Roman"/>
          <w:kern w:val="0"/>
          <w:sz w:val="28"/>
          <w:szCs w:val="24"/>
          <w:lang w:val="en-US" w:eastAsia="zh-CN" w:bidi="ar-SA"/>
        </w:rPr>
        <w:t>19.64</w:t>
      </w:r>
      <w:r>
        <w:rPr>
          <w:rFonts w:ascii="Times New Roman" w:hAnsi="Times New Roman" w:eastAsia="方正仿宋_GBK" w:cs="Times New Roman"/>
          <w:kern w:val="0"/>
          <w:sz w:val="28"/>
          <w:szCs w:val="24"/>
          <w:lang w:val="en-US" w:eastAsia="uk-UA" w:bidi="ar-SA"/>
        </w:rPr>
        <w:t>万元，主要原因为</w:t>
      </w:r>
      <w:r>
        <w:rPr>
          <w:rFonts w:hint="eastAsia" w:ascii="Times New Roman" w:hAnsi="Times New Roman" w:cs="Times New Roman"/>
          <w:kern w:val="0"/>
          <w:sz w:val="28"/>
          <w:szCs w:val="24"/>
          <w:lang w:val="en-US" w:eastAsia="zh-CN" w:bidi="ar-SA"/>
        </w:rPr>
        <w:t>水电暖费增加</w:t>
      </w:r>
      <w:r>
        <w:rPr>
          <w:rFonts w:ascii="Times New Roman" w:hAnsi="Times New Roman" w:eastAsia="方正仿宋_GBK" w:cs="Times New Roman"/>
          <w:kern w:val="0"/>
          <w:sz w:val="28"/>
          <w:szCs w:val="24"/>
          <w:lang w:val="en-US" w:eastAsia="uk-UA" w:bidi="ar-SA"/>
        </w:rPr>
        <w:t>，</w:t>
      </w:r>
      <w:r>
        <w:rPr>
          <w:rFonts w:hint="eastAsia" w:ascii="Times New Roman" w:hAnsi="Times New Roman" w:cs="Times New Roman"/>
          <w:kern w:val="0"/>
          <w:sz w:val="28"/>
          <w:szCs w:val="24"/>
          <w:lang w:val="en-US" w:eastAsia="zh-CN" w:bidi="ar-SA"/>
        </w:rPr>
        <w:t>人</w:t>
      </w:r>
      <w:r>
        <w:rPr>
          <w:rFonts w:ascii="Times New Roman" w:hAnsi="Times New Roman" w:eastAsia="方正仿宋_GBK" w:cs="Times New Roman"/>
          <w:kern w:val="0"/>
          <w:sz w:val="28"/>
          <w:szCs w:val="24"/>
          <w:lang w:val="en-US" w:eastAsia="uk-UA" w:bidi="ar-SA"/>
        </w:rPr>
        <w:t>员工资上涨导致集体的工会费和福利费略有增幅；项目支出</w:t>
      </w:r>
      <w:r>
        <w:rPr>
          <w:rFonts w:hint="eastAsia" w:ascii="Times New Roman" w:hAnsi="Times New Roman" w:cs="Times New Roman"/>
          <w:kern w:val="0"/>
          <w:sz w:val="28"/>
          <w:szCs w:val="24"/>
          <w:lang w:val="en-US" w:eastAsia="zh-CN" w:bidi="ar-SA"/>
        </w:rPr>
        <w:t>增加280.54万</w:t>
      </w:r>
      <w:r>
        <w:rPr>
          <w:rFonts w:ascii="Times New Roman" w:hAnsi="Times New Roman" w:eastAsia="方正仿宋_GBK" w:cs="Times New Roman"/>
          <w:kern w:val="0"/>
          <w:sz w:val="28"/>
          <w:szCs w:val="24"/>
          <w:lang w:val="en-US" w:eastAsia="uk-UA" w:bidi="ar-SA"/>
        </w:rPr>
        <w:t>元，</w:t>
      </w:r>
      <w:r>
        <w:rPr>
          <w:rFonts w:hint="eastAsia" w:ascii="Times New Roman" w:hAnsi="Times New Roman" w:cs="Times New Roman"/>
          <w:kern w:val="0"/>
          <w:sz w:val="28"/>
          <w:szCs w:val="24"/>
          <w:lang w:val="en-US" w:eastAsia="zh-CN" w:bidi="ar-SA"/>
        </w:rPr>
        <w:t>主要原因为2023年上级转移支付资金结转。</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30"/>
      </w:pPr>
      <w:r>
        <w:rPr>
          <w:rFonts w:hint="eastAsia"/>
        </w:rPr>
        <w:t>滦南县人民法院</w:t>
      </w:r>
      <w:r>
        <w:rPr>
          <w:rFonts w:ascii="Times New Roman" w:hAnsi="Times New Roman" w:eastAsia="方正仿宋_GBK" w:cs="Times New Roman"/>
          <w:kern w:val="0"/>
          <w:sz w:val="28"/>
          <w:szCs w:val="24"/>
          <w:lang w:val="en-US" w:eastAsia="uk-UA" w:bidi="ar-SA"/>
        </w:rPr>
        <w:t>202</w:t>
      </w:r>
      <w:r>
        <w:rPr>
          <w:rFonts w:hint="eastAsia" w:ascii="Times New Roman" w:hAnsi="Times New Roman" w:cs="Times New Roman"/>
          <w:kern w:val="0"/>
          <w:sz w:val="28"/>
          <w:szCs w:val="24"/>
          <w:lang w:val="en-US" w:eastAsia="zh-CN" w:bidi="ar-SA"/>
        </w:rPr>
        <w:t>4</w:t>
      </w:r>
      <w:r>
        <w:rPr>
          <w:rFonts w:ascii="Times New Roman" w:hAnsi="Times New Roman" w:eastAsia="方正仿宋_GBK" w:cs="Times New Roman"/>
          <w:kern w:val="0"/>
          <w:sz w:val="28"/>
          <w:szCs w:val="24"/>
          <w:lang w:val="en-US" w:eastAsia="uk-UA" w:bidi="ar-SA"/>
        </w:rPr>
        <w:t>年机关运行经费共计安排</w:t>
      </w:r>
      <w:r>
        <w:rPr>
          <w:rFonts w:hint="eastAsia" w:ascii="Times New Roman" w:hAnsi="Times New Roman" w:cs="Times New Roman"/>
          <w:kern w:val="0"/>
          <w:sz w:val="28"/>
          <w:szCs w:val="24"/>
          <w:lang w:val="en-US" w:eastAsia="zh-CN" w:bidi="ar-SA"/>
        </w:rPr>
        <w:t>225.40</w:t>
      </w:r>
      <w:r>
        <w:rPr>
          <w:rFonts w:ascii="Times New Roman" w:hAnsi="Times New Roman" w:eastAsia="方正仿宋_GBK" w:cs="Times New Roman"/>
          <w:kern w:val="0"/>
          <w:sz w:val="28"/>
          <w:szCs w:val="24"/>
          <w:lang w:val="en-US" w:eastAsia="uk-UA" w:bidi="ar-SA"/>
        </w:rPr>
        <w:t>万元，主要包括用于保证机关正常运转的办公费</w:t>
      </w:r>
      <w:r>
        <w:t>、邮电费、福利费、水电费、公务车运行维护费等支出。</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0"/>
        <w:rPr>
          <w:rFonts w:hint="eastAsia" w:ascii="Times New Roman" w:hAnsi="Times New Roman" w:cs="Times New Roman"/>
          <w:lang w:val="en-US" w:eastAsia="uk-UA"/>
        </w:rPr>
      </w:pPr>
      <w:bookmarkStart w:id="21" w:name="_GoBack"/>
      <w:r>
        <w:rPr>
          <w:rFonts w:hint="eastAsia" w:ascii="Times New Roman" w:hAnsi="Times New Roman" w:cs="Times New Roman"/>
          <w:lang w:val="en-US" w:eastAsia="uk-UA"/>
        </w:rPr>
        <w:t>202</w:t>
      </w:r>
      <w:r>
        <w:rPr>
          <w:rFonts w:hint="eastAsia" w:ascii="Times New Roman" w:hAnsi="Times New Roman" w:cs="Times New Roman"/>
          <w:lang w:val="en-US" w:eastAsia="zh-CN"/>
        </w:rPr>
        <w:t>4</w:t>
      </w:r>
      <w:r>
        <w:rPr>
          <w:rFonts w:hint="eastAsia" w:ascii="Times New Roman" w:hAnsi="Times New Roman" w:cs="Times New Roman"/>
          <w:lang w:val="en-US" w:eastAsia="uk-UA"/>
        </w:rPr>
        <w:t>年，滦南县人民法院财政拨款“三公”经费预算安排</w:t>
      </w:r>
      <w:r>
        <w:rPr>
          <w:rFonts w:hint="eastAsia" w:ascii="Times New Roman" w:hAnsi="Times New Roman" w:cs="Times New Roman"/>
          <w:lang w:val="en-US" w:eastAsia="zh-CN"/>
        </w:rPr>
        <w:t>7.81</w:t>
      </w:r>
      <w:r>
        <w:rPr>
          <w:rFonts w:hint="eastAsia" w:ascii="Times New Roman" w:hAnsi="Times New Roman" w:cs="Times New Roman"/>
          <w:lang w:val="en-US" w:eastAsia="uk-UA"/>
        </w:rPr>
        <w:t>万元，较上年预算减少</w:t>
      </w:r>
      <w:r>
        <w:rPr>
          <w:rFonts w:hint="eastAsia" w:ascii="Times New Roman" w:hAnsi="Times New Roman" w:cs="Times New Roman"/>
          <w:lang w:val="en-US" w:eastAsia="zh-CN"/>
        </w:rPr>
        <w:t>28.13</w:t>
      </w:r>
      <w:r>
        <w:rPr>
          <w:rFonts w:hint="eastAsia" w:ascii="Times New Roman" w:hAnsi="Times New Roman" w:cs="Times New Roman"/>
          <w:lang w:val="en-US" w:eastAsia="uk-UA"/>
        </w:rPr>
        <w:t>万元。具体安排情况为：</w:t>
      </w:r>
    </w:p>
    <w:p>
      <w:pPr>
        <w:pStyle w:val="30"/>
        <w:rPr>
          <w:rFonts w:hint="eastAsia" w:ascii="Times New Roman" w:hAnsi="Times New Roman" w:eastAsia="方正仿宋_GBK" w:cs="Times New Roman"/>
          <w:lang w:val="en-US" w:eastAsia="zh-CN"/>
        </w:rPr>
      </w:pPr>
      <w:r>
        <w:rPr>
          <w:rFonts w:hint="eastAsia" w:ascii="Times New Roman" w:hAnsi="Times New Roman" w:cs="Times New Roman"/>
          <w:lang w:val="en-US" w:eastAsia="uk-UA"/>
        </w:rPr>
        <w:t>（一）公务用车购置及运行费。共计安排</w:t>
      </w:r>
      <w:r>
        <w:rPr>
          <w:rFonts w:hint="eastAsia" w:ascii="Times New Roman" w:hAnsi="Times New Roman" w:cs="Times New Roman"/>
          <w:lang w:val="en-US" w:eastAsia="zh-CN"/>
        </w:rPr>
        <w:t>7.81</w:t>
      </w:r>
      <w:r>
        <w:rPr>
          <w:rFonts w:hint="eastAsia" w:ascii="Times New Roman" w:hAnsi="Times New Roman" w:cs="Times New Roman"/>
          <w:lang w:val="en-US" w:eastAsia="uk-UA"/>
        </w:rPr>
        <w:t>万元</w:t>
      </w:r>
      <w:r>
        <w:rPr>
          <w:rFonts w:hint="eastAsia" w:ascii="Times New Roman" w:hAnsi="Times New Roman" w:cs="Times New Roman"/>
          <w:lang w:val="en-US" w:eastAsia="zh-CN"/>
        </w:rPr>
        <w:t>：</w:t>
      </w:r>
    </w:p>
    <w:p>
      <w:pPr>
        <w:pStyle w:val="30"/>
        <w:rPr>
          <w:rFonts w:hint="eastAsia" w:ascii="Times New Roman" w:hAnsi="Times New Roman" w:cs="Times New Roman"/>
          <w:lang w:val="en-US" w:eastAsia="uk-UA"/>
        </w:rPr>
      </w:pPr>
      <w:bookmarkStart w:id="13" w:name="_Toc19130"/>
      <w:r>
        <w:rPr>
          <w:rFonts w:hint="eastAsia" w:ascii="Times New Roman" w:hAnsi="Times New Roman" w:cs="Times New Roman"/>
          <w:lang w:val="en-US" w:eastAsia="uk-UA"/>
        </w:rPr>
        <w:t>1.公务用车购置费</w:t>
      </w:r>
      <w:r>
        <w:rPr>
          <w:rFonts w:hint="eastAsia" w:ascii="Times New Roman" w:hAnsi="Times New Roman" w:cs="Times New Roman"/>
          <w:lang w:val="en-US" w:eastAsia="zh-CN"/>
        </w:rPr>
        <w:t>:0.00</w:t>
      </w:r>
      <w:r>
        <w:rPr>
          <w:rFonts w:hint="eastAsia" w:ascii="Times New Roman" w:hAnsi="Times New Roman" w:cs="Times New Roman"/>
          <w:lang w:val="en-US" w:eastAsia="uk-UA"/>
        </w:rPr>
        <w:t>万元，</w:t>
      </w:r>
      <w:r>
        <w:rPr>
          <w:rFonts w:hint="eastAsia" w:ascii="Times New Roman" w:hAnsi="Times New Roman" w:cs="Times New Roman"/>
          <w:lang w:val="en-US" w:eastAsia="zh-CN"/>
        </w:rPr>
        <w:t>比上年减少18万元，</w:t>
      </w:r>
      <w:r>
        <w:rPr>
          <w:rFonts w:hint="eastAsia" w:ascii="Times New Roman" w:hAnsi="Times New Roman" w:cs="Times New Roman"/>
          <w:lang w:val="en-US" w:eastAsia="uk-UA"/>
        </w:rPr>
        <w:t>原因为本年</w:t>
      </w:r>
      <w:r>
        <w:rPr>
          <w:rFonts w:hint="eastAsia" w:ascii="Times New Roman" w:hAnsi="Times New Roman" w:cs="Times New Roman"/>
          <w:lang w:val="en-US" w:eastAsia="zh-CN"/>
        </w:rPr>
        <w:t>无购车计划安排</w:t>
      </w:r>
      <w:r>
        <w:rPr>
          <w:rFonts w:hint="eastAsia" w:ascii="Times New Roman" w:hAnsi="Times New Roman" w:cs="Times New Roman"/>
          <w:lang w:val="en-US" w:eastAsia="uk-UA"/>
        </w:rPr>
        <w:t>。</w:t>
      </w:r>
      <w:bookmarkEnd w:id="13"/>
    </w:p>
    <w:p>
      <w:pPr>
        <w:pStyle w:val="30"/>
        <w:rPr>
          <w:rFonts w:hint="eastAsia" w:ascii="Times New Roman" w:hAnsi="Times New Roman" w:cs="Times New Roman"/>
          <w:lang w:val="en-US" w:eastAsia="uk-UA"/>
        </w:rPr>
      </w:pPr>
      <w:r>
        <w:rPr>
          <w:rFonts w:hint="eastAsia" w:ascii="Times New Roman" w:hAnsi="Times New Roman" w:cs="Times New Roman"/>
          <w:lang w:val="en-US" w:eastAsia="uk-UA"/>
        </w:rPr>
        <w:t>2.公务用车运行维护费安排7.81万元，比上年减少</w:t>
      </w:r>
      <w:r>
        <w:rPr>
          <w:rFonts w:hint="eastAsia" w:ascii="Times New Roman" w:hAnsi="Times New Roman" w:cs="Times New Roman"/>
          <w:lang w:val="en-US" w:eastAsia="zh-CN"/>
        </w:rPr>
        <w:t>10</w:t>
      </w:r>
      <w:r>
        <w:rPr>
          <w:rFonts w:hint="eastAsia" w:ascii="Times New Roman" w:hAnsi="Times New Roman" w:cs="Times New Roman"/>
          <w:lang w:val="en-US" w:eastAsia="uk-UA"/>
        </w:rPr>
        <w:t>万元，原因为压减支出，节约经费。</w:t>
      </w:r>
    </w:p>
    <w:p>
      <w:pPr>
        <w:pStyle w:val="30"/>
        <w:rPr>
          <w:rFonts w:hint="eastAsia" w:ascii="Times New Roman" w:hAnsi="Times New Roman" w:cs="Times New Roman"/>
          <w:lang w:val="en-US" w:eastAsia="uk-UA"/>
        </w:rPr>
      </w:pPr>
      <w:r>
        <w:rPr>
          <w:rFonts w:hint="eastAsia" w:ascii="Times New Roman" w:hAnsi="Times New Roman" w:cs="Times New Roman"/>
          <w:lang w:val="en-US" w:eastAsia="uk-UA"/>
        </w:rPr>
        <w:t>（二）公务接待费安排</w:t>
      </w:r>
      <w:r>
        <w:rPr>
          <w:rFonts w:hint="eastAsia" w:ascii="Times New Roman" w:hAnsi="Times New Roman" w:cs="Times New Roman"/>
          <w:lang w:val="en-US" w:eastAsia="zh-CN"/>
        </w:rPr>
        <w:t>0.00</w:t>
      </w:r>
      <w:r>
        <w:rPr>
          <w:rFonts w:hint="eastAsia" w:ascii="Times New Roman" w:hAnsi="Times New Roman" w:cs="Times New Roman"/>
          <w:lang w:val="en-US" w:eastAsia="uk-UA"/>
        </w:rPr>
        <w:t>万元，较上年预算</w:t>
      </w:r>
      <w:r>
        <w:rPr>
          <w:rFonts w:hint="eastAsia" w:ascii="Times New Roman" w:hAnsi="Times New Roman" w:cs="Times New Roman"/>
          <w:lang w:val="en-US" w:eastAsia="zh-CN"/>
        </w:rPr>
        <w:t>减少</w:t>
      </w:r>
      <w:r>
        <w:rPr>
          <w:rFonts w:hint="eastAsia" w:ascii="Times New Roman" w:hAnsi="Times New Roman" w:cs="Times New Roman"/>
          <w:lang w:val="en-US" w:eastAsia="uk-UA"/>
        </w:rPr>
        <w:t>0.13万元，原因是</w:t>
      </w:r>
      <w:r>
        <w:rPr>
          <w:rFonts w:hint="eastAsia" w:ascii="Times New Roman" w:hAnsi="Times New Roman" w:cs="Times New Roman"/>
          <w:lang w:val="en-US" w:eastAsia="zh-CN"/>
        </w:rPr>
        <w:t>无</w:t>
      </w:r>
      <w:r>
        <w:rPr>
          <w:rFonts w:hint="eastAsia" w:ascii="Times New Roman" w:hAnsi="Times New Roman" w:cs="Times New Roman"/>
          <w:lang w:val="en-US" w:eastAsia="uk-UA"/>
        </w:rPr>
        <w:t>公务来访活动</w:t>
      </w:r>
      <w:r>
        <w:rPr>
          <w:rFonts w:hint="eastAsia" w:ascii="Times New Roman" w:hAnsi="Times New Roman" w:cs="Times New Roman"/>
          <w:lang w:val="en-US" w:eastAsia="zh-CN"/>
        </w:rPr>
        <w:t>计划安排</w:t>
      </w:r>
      <w:r>
        <w:rPr>
          <w:rFonts w:hint="eastAsia" w:ascii="Times New Roman" w:hAnsi="Times New Roman" w:cs="Times New Roman"/>
          <w:lang w:val="en-US" w:eastAsia="uk-UA"/>
        </w:rPr>
        <w:t>。</w:t>
      </w:r>
    </w:p>
    <w:p>
      <w:pPr>
        <w:pStyle w:val="30"/>
        <w:rPr>
          <w:rFonts w:ascii="Times New Roman" w:hAnsi="Times New Roman" w:eastAsia="方正仿宋_GBK" w:cs="Times New Roman"/>
          <w:kern w:val="0"/>
          <w:sz w:val="28"/>
          <w:szCs w:val="24"/>
          <w:lang w:val="en-US" w:eastAsia="uk-UA" w:bidi="ar-SA"/>
        </w:rPr>
      </w:pPr>
      <w:r>
        <w:rPr>
          <w:rFonts w:hint="eastAsia" w:ascii="Times New Roman" w:hAnsi="Times New Roman" w:cs="Times New Roman"/>
          <w:lang w:val="en-US" w:eastAsia="uk-UA"/>
        </w:rPr>
        <w:t>（三）因公出国（境）费安排0万元，与上年持平，原因为上年与本年预算均无出国项目计划安排。</w:t>
      </w:r>
    </w:p>
    <w:bookmarkEnd w:id="21"/>
    <w:p>
      <w:pPr>
        <w:pStyle w:val="20"/>
      </w:pPr>
    </w:p>
    <w:p>
      <w:pPr>
        <w:spacing w:before="10" w:after="10" w:line="360" w:lineRule="auto"/>
        <w:ind w:firstLine="640"/>
        <w:outlineLvl w:val="2"/>
      </w:pPr>
      <w:bookmarkStart w:id="14" w:name="_Toc_3_3_0000000014"/>
      <w:r>
        <w:rPr>
          <w:rFonts w:ascii="黑体" w:hAnsi="黑体" w:eastAsia="黑体" w:cs="黑体"/>
          <w:color w:val="000000"/>
          <w:sz w:val="32"/>
        </w:rPr>
        <w:t>五、部门整体绩效目标</w:t>
      </w:r>
      <w:bookmarkEnd w:id="14"/>
    </w:p>
    <w:p>
      <w:pPr>
        <w:spacing w:line="500" w:lineRule="exact"/>
        <w:ind w:firstLine="560"/>
      </w:pPr>
      <w:r>
        <w:rPr>
          <w:rFonts w:eastAsia="方正仿宋_GBK"/>
          <w:color w:val="000000"/>
          <w:sz w:val="28"/>
        </w:rPr>
        <w:t>（一）总体绩效目标</w:t>
      </w:r>
    </w:p>
    <w:p>
      <w:pPr>
        <w:pStyle w:val="21"/>
      </w:pPr>
      <w:r>
        <w:t>202</w:t>
      </w:r>
      <w:r>
        <w:rPr>
          <w:rFonts w:hint="eastAsia"/>
          <w:lang w:val="en-US" w:eastAsia="zh-CN"/>
        </w:rPr>
        <w:t>4</w:t>
      </w:r>
      <w:r>
        <w:t>年，滦南县人民法院将坚持以习近平新时代中国特色社会主义思想为指导，深入学习宣传贯彻党的二十大精神，坚决贯彻党中央、省市委、上级法院部署要求，紧紧围绕市委“12345”总体工作布局，以开展“审执质效提升年”活动为抓手，充分发挥审判职能作用，为加快实现“三个努力建成”“三个走在前列”宏伟目标贡献司法力量。市法院总体绩效目标为：妥善审理经济转型过程中引发的各类矛盾纠纷，依法维护国家安全和社会稳定，严惩各类严重刑事犯罪，积极推进我市平安建设，营造良好的法治环境；改革涉诉信访工作，推动涉诉信访问题在法治轨道内解决；落实司法为民措施，保护被侵权人合法利益，促进国家机关依法行使职权；提高队伍素质和执法能力，高质高效完成各项工作。</w:t>
      </w:r>
    </w:p>
    <w:p>
      <w:pPr>
        <w:pStyle w:val="21"/>
      </w:pPr>
      <w:r>
        <w:rPr>
          <w:rFonts w:hint="eastAsia"/>
          <w:lang w:eastAsia="zh-CN"/>
        </w:rPr>
        <w:t>（</w:t>
      </w:r>
      <w:r>
        <w:rPr>
          <w:rFonts w:hint="eastAsia"/>
          <w:lang w:val="en-US" w:eastAsia="zh-CN"/>
        </w:rPr>
        <w:t>二</w:t>
      </w:r>
      <w:r>
        <w:rPr>
          <w:rFonts w:hint="eastAsia"/>
          <w:lang w:eastAsia="zh-CN"/>
        </w:rPr>
        <w:t>）</w:t>
      </w:r>
      <w:r>
        <w:t>分项绩效目标</w:t>
      </w:r>
    </w:p>
    <w:p>
      <w:pPr>
        <w:pStyle w:val="21"/>
      </w:pPr>
      <w:r>
        <w:t>1、全面推进一站式建设</w:t>
      </w:r>
    </w:p>
    <w:p>
      <w:pPr>
        <w:pStyle w:val="21"/>
      </w:pPr>
      <w:r>
        <w:t>绩效目标：深化一站式多元解纷机制建设，完善源头治理、非诉挺前、多元化解、繁简分流的分层递进纠纷解决路径，为人民群众提供线上线下分层次、多途径、高效率、低成本的纠纷解决渠道。提供高质量诉讼服务，全面规范并推广在线诉讼活动，完善智慧诉服平台应用，为当事人提供立案、查询、交费、调解、保全、鉴定、送达等全时空、全流程在线诉讼服务。不断推出一站式便民服务新举措，在推行跨域诉讼服务、增加12368热线办事功能、畅通律师诉讼服务渠道等方面实现新突破，有效满足人民群众多元化司法需求。</w:t>
      </w:r>
    </w:p>
    <w:p>
      <w:pPr>
        <w:pStyle w:val="21"/>
      </w:pPr>
      <w:r>
        <w:t>绩效指标：立案、调解、交退费、联系法官、速裁庭审、送达文书等诉讼服务事项实现100%全流程在线；跨域立案服务覆盖率100%；诉前调解案件占一审立案数量的比重达到40%以上；分调裁审案件占比60%以上，速裁案件平均办理时长在30日以内；畅通一号通办能力，实现12368热线人工服务接通率、协调办理解决率及服务满意率均达到95%以上；律师服务平台应用率达到70%以上；在线委托鉴定率达到80%以上；在线办理保全率达到80%以上；电子送达率达到60%以上。</w:t>
      </w:r>
    </w:p>
    <w:p>
      <w:pPr>
        <w:pStyle w:val="21"/>
      </w:pPr>
      <w:r>
        <w:t>2、各类案件审理更加高质高效</w:t>
      </w:r>
    </w:p>
    <w:p>
      <w:pPr>
        <w:pStyle w:val="21"/>
      </w:pPr>
      <w:r>
        <w:t>绩效目标：充分发挥审判职能作用，妥善处理好刑事、民商事、行政审判等各类案件，完善审判质效评估体系，促进审判质效提高，健全司法权力运行机制，提升司法公信力。</w:t>
      </w:r>
    </w:p>
    <w:p>
      <w:pPr>
        <w:pStyle w:val="21"/>
      </w:pPr>
      <w:r>
        <w:t>绩效指标：年度审结案件数量占全部审判案件之比稳定在90%以上；在法律规定的期限内审结案件数量占年度审结案件数量之比稳定在98%以上；平均审理天数下降到55个工作日以下。</w:t>
      </w:r>
    </w:p>
    <w:p>
      <w:pPr>
        <w:pStyle w:val="21"/>
      </w:pPr>
      <w:r>
        <w:t>3、实现执行工作高效规范开展</w:t>
      </w:r>
    </w:p>
    <w:p>
      <w:pPr>
        <w:pStyle w:val="21"/>
      </w:pPr>
      <w:r>
        <w:t>绩效目标：巩固和深化基本解决执行难成果，健全解决执行难长效机制，推广使用终本案件智能核查系统；完善执行案款管理制度；强化执行工作统一管理、统一协调、统一指挥，推进执行工作规范化管理，提升执行质效水平，积极推进我省“352指挥执行模式”改革，向切实解决执行难目标迈进。</w:t>
      </w:r>
    </w:p>
    <w:p>
      <w:pPr>
        <w:pStyle w:val="21"/>
      </w:pPr>
      <w:r>
        <w:t>绩效指标：法定期限内结案率达到90%，总体结案率达到80%，执行信访办结率达到90%；失信名单撤销率不高于0.8‰，网络查控措施期限内发起率达到95%。</w:t>
      </w:r>
    </w:p>
    <w:p>
      <w:pPr>
        <w:pStyle w:val="21"/>
      </w:pPr>
      <w:r>
        <w:t>4、队伍素质和执法能力稳步提升</w:t>
      </w:r>
    </w:p>
    <w:p>
      <w:pPr>
        <w:pStyle w:val="21"/>
      </w:pPr>
      <w:r>
        <w:t>绩效目标：健全人员分类管理制度，完善员额动态管理，完善审判辅助人员招录和管理制度。以提升人民法院服务大局工作能力为切入点着力点，大力加强教育培训工作，全面提高法院干警服务大局、司法为民、公正司法的实际能力。着力加强司法政务队伍建设，大力推进司法警察改革工作。全面落实从优待警各项政策，完善司法人员职业发展制度、激励关怀机制、履职保障机制，加大司法人员依法履职保护力度，更好保障司法人员职业尊严、荣誉和安全。</w:t>
      </w:r>
    </w:p>
    <w:p>
      <w:pPr>
        <w:pStyle w:val="21"/>
      </w:pPr>
      <w:r>
        <w:t>绩效指标：年度教育培训任务全部完成。优化教育培训课程内容体系，分类分级、精准施训。创新法治人才培养机制，不断深化与省委组织部、省直政法部门合作，进行联合培训。法警训练实现全覆盖，参训人员达标率达到100%。继续推进全省法院系统立功奖励工作，健全完善激励考核机制。</w:t>
      </w:r>
    </w:p>
    <w:p>
      <w:pPr>
        <w:pStyle w:val="21"/>
      </w:pPr>
      <w:r>
        <w:t>5、智慧法院建设保持领先</w:t>
      </w:r>
    </w:p>
    <w:p>
      <w:pPr>
        <w:pStyle w:val="21"/>
      </w:pPr>
      <w:r>
        <w:t>绩效目标：积极推进现代科技在司法领域深度应用，不断深化人事、财务、政务等各项管理信息化应用，努力把智慧法院建设提升到新水平。推动一体化监督平台、一步庭审系统、审判质效管理平台等创新成果应用落地落实。加大基层智慧法院建设力度，努力推进基层执法司法工作现代化。</w:t>
      </w:r>
    </w:p>
    <w:p>
      <w:pPr>
        <w:pStyle w:val="21"/>
      </w:pPr>
      <w:r>
        <w:t>绩效指标：年度信息化建设按时上线运行比率达到100%，建设项目验收合格实现100%，年度新建项目应用提升到80%以上，涉密公文网上审批提升到90%以上。</w:t>
      </w:r>
    </w:p>
    <w:p>
      <w:pPr>
        <w:pStyle w:val="21"/>
      </w:pPr>
      <w:r>
        <w:rPr>
          <w:rFonts w:hint="eastAsia"/>
          <w:lang w:eastAsia="zh-CN"/>
        </w:rPr>
        <w:t>（</w:t>
      </w:r>
      <w:r>
        <w:rPr>
          <w:rFonts w:hint="eastAsia"/>
          <w:lang w:val="en-US" w:eastAsia="zh-CN"/>
        </w:rPr>
        <w:t>三</w:t>
      </w:r>
      <w:r>
        <w:rPr>
          <w:rFonts w:hint="eastAsia"/>
          <w:lang w:eastAsia="zh-CN"/>
        </w:rPr>
        <w:t>）</w:t>
      </w:r>
      <w:r>
        <w:t>工作保障措施</w:t>
      </w:r>
    </w:p>
    <w:p>
      <w:pPr>
        <w:pStyle w:val="21"/>
      </w:pPr>
      <w:r>
        <w:t>为确保2023年部门工作计划圆满完成，绩效目标顺利实现，市法院将突出以下几个方面做好保障措施：</w:t>
      </w:r>
    </w:p>
    <w:p>
      <w:pPr>
        <w:pStyle w:val="21"/>
      </w:pPr>
      <w:r>
        <w:t>1.强化组织领导，层层压实责任。严格落实主体责，强化“一把手”第一责任人意识，分管院领导要履行好“一岗双责”，院庭长带头以上率下狠抓工作落实，努力形成一级做给一级看，一级带着一级干的良好氛围。切实把服务发展大局、提升审执质效、提升人民群众满意度、深化司法改革、加强队伍建设等各项工作有机结合起来，力争做到各项工作协调发展、相互促进、相得益彰。积极按照“五个一”工作机制，制定具体细化的任务清单、责任清单、措施清单、效果清单，量化具体指标、时间进度和质量要求，推动工作项目化、项目目标化、目标责任化。</w:t>
      </w:r>
    </w:p>
    <w:p>
      <w:pPr>
        <w:pStyle w:val="21"/>
      </w:pPr>
      <w:r>
        <w:t xml:space="preserve">2.细化改革措施，奋力提质增效。坚持问题导向，根据实际不断修改完善司法改革相关制度措施。建立科学的考评机制。不断增强考核办法系统化和信息化水平，破解手动操作完成任务量庞大、周期较长、效率不高等问题，使考核工作更加高效、便捷、公开。加强新型办案团队建设，用足用好中央关于聘用制书记员管理改革政策，配齐配优新型审判辅助力量。健全新型审判监督管理机制，运用信息化思维和手段推动审判监督管理制度转型，推动审判监督管理向全院、全员、全过程的实时动态监管转变。  </w:t>
      </w:r>
    </w:p>
    <w:p>
      <w:pPr>
        <w:pStyle w:val="21"/>
      </w:pPr>
      <w:r>
        <w:t>3.完善制度建设，严格措施落实。以各项财务制度和的出台和修订以及财务资产内控平台的应用为契机，构建较为完备的制度体系，以此促进各项工作的规范化，制度执行阶段，加强各部门间的沟通协调和监督检查，使制度措施真正落到实处。</w:t>
      </w:r>
    </w:p>
    <w:p>
      <w:pPr>
        <w:pStyle w:val="21"/>
      </w:pPr>
      <w:r>
        <w:t>4.强化预算约束，严格支出管理。增强预算约束的刚性，充分发挥专业化软件优势，利用信息化设备和智能化手段实现对财务工作的明细管理，提升核算、查询、统计工作的效率，增强管理工作的时效性。严格支出审批程序，推进采购项目尽快启动，履行政府采购手续，及时进行资金结算，加快推进支出进度。</w:t>
      </w:r>
    </w:p>
    <w:p>
      <w:pPr>
        <w:pStyle w:val="21"/>
      </w:pPr>
      <w:r>
        <w:t>5.加强绩效管理，提高资金效益。根据财政的要求开展新增预算项目事前绩效评估、事中绩效运行监控以及事后绩效评价，及时发现问题整改，并根据绩效评价结果调整优化支出结构，确保好钢用在刀刃上，提高财政资金的使用效益。</w:t>
      </w:r>
    </w:p>
    <w:p>
      <w:pPr>
        <w:pStyle w:val="21"/>
      </w:pPr>
      <w:r>
        <w:t>6.夯实财务基础，提升管理效率。对涉及财政资金的管理模块，包括资金拨付使用、人员工资福利发放代缴、资产管理、非税收入的收缴等基础工作，进一步规范流程，加强新技术的学习和应用，要在完成任务的基础上进一步提升管理效率，及时做好各项数据信息的统计分析汇总工作，为领导决算提供准确及时有效的信息。</w:t>
      </w:r>
    </w:p>
    <w:p>
      <w:pPr>
        <w:pStyle w:val="21"/>
      </w:pPr>
      <w:r>
        <w:t>7.强化督导考核，持续跟踪问效。聚焦审判执行、涉诉信访、扫黑除恶、信息宣传、安全保卫等各项工作，将任务目标完成情况纳入各级领导班子和领导干部绩效考核内容，实施台账管理，严格督导问效，考核结果作为干部提拔使用、评先评优的重要依据。加强内控机制建设，对绩效运行情况、重大支出决策、资产处置等重要经济业务事项的决策和执行进行督导，对财务资料进行内部审计，并配合做好审计、财政监督等外部监督工作。健全完善常态化督导机制和综合考评机制，常态化开展督导检查、明察暗访，及时通报情况、整改问题，对工作不力、落实不到位、造成严重影响的，严肃追责问责，确保各项工作落地落实。</w:t>
      </w:r>
    </w:p>
    <w:p>
      <w:pPr>
        <w:pStyle w:val="21"/>
      </w:pPr>
      <w:r>
        <w:t>8.加强宣调培训，提高人员素质。通过积极组织和参与对口业务培训，进一步提升专业人员的岗位胜任能力和技术操作水平；加大宣传工作力度，增强预算绩效管理意识，对有助于实现法院整体绩效目标的宣传工作积极予以支持；增强对调研工作重要性的认识，通过实地调研收集反馈意见，助力决策科学化，提升整体工作的管理水平。</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5"/>
      <w:r>
        <w:rPr>
          <w:rFonts w:ascii="黑体" w:hAnsi="黑体" w:eastAsia="黑体" w:cs="黑体"/>
          <w:color w:val="000000"/>
          <w:sz w:val="32"/>
        </w:rPr>
        <w:t>六、部门主管专项资金预算安排情况及绩效目标</w:t>
      </w:r>
      <w:bookmarkEnd w:id="15"/>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pPr>
        <w:ind w:firstLine="560"/>
      </w:pPr>
      <w:r>
        <w:rPr>
          <w:rFonts w:ascii="方正仿宋_GBK" w:hAnsi="方正仿宋_GBK" w:eastAsia="方正仿宋_GBK" w:cs="方正仿宋_GBK"/>
          <w:color w:val="000000"/>
          <w:sz w:val="28"/>
        </w:rPr>
        <w:t>1、办公用品采购绩效目标表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13020024P00684112855R</w:t>
            </w:r>
          </w:p>
        </w:tc>
        <w:tc>
          <w:tcPr>
            <w:tcW w:w="2835" w:type="dxa"/>
            <w:vAlign w:val="center"/>
          </w:tcPr>
          <w:p>
            <w:pPr>
              <w:pStyle w:val="10"/>
            </w:pPr>
            <w:r>
              <w:t>项目名称</w:t>
            </w:r>
          </w:p>
        </w:tc>
        <w:tc>
          <w:tcPr>
            <w:tcW w:w="6095" w:type="dxa"/>
            <w:gridSpan w:val="3"/>
            <w:vAlign w:val="center"/>
          </w:tcPr>
          <w:p>
            <w:pPr>
              <w:pStyle w:val="12"/>
            </w:pPr>
            <w:r>
              <w:t>办公用品采购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用于法院办公用品采购支出。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1.用于法院办公用品采购支出，保障法院综合业务正常开展。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2、差旅费绩效目标表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13020024P00684112867W</w:t>
            </w:r>
          </w:p>
        </w:tc>
        <w:tc>
          <w:tcPr>
            <w:tcW w:w="2835" w:type="dxa"/>
            <w:vAlign w:val="center"/>
          </w:tcPr>
          <w:p>
            <w:pPr>
              <w:pStyle w:val="10"/>
            </w:pPr>
            <w:r>
              <w:t>项目名称</w:t>
            </w:r>
          </w:p>
        </w:tc>
        <w:tc>
          <w:tcPr>
            <w:tcW w:w="6095" w:type="dxa"/>
            <w:gridSpan w:val="3"/>
            <w:vAlign w:val="center"/>
          </w:tcPr>
          <w:p>
            <w:pPr>
              <w:pStyle w:val="12"/>
            </w:pPr>
            <w:r>
              <w:t>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12.44</w:t>
            </w:r>
          </w:p>
        </w:tc>
        <w:tc>
          <w:tcPr>
            <w:tcW w:w="2835" w:type="dxa"/>
            <w:vAlign w:val="center"/>
          </w:tcPr>
          <w:p>
            <w:pPr>
              <w:pStyle w:val="10"/>
            </w:pPr>
            <w:r>
              <w:t>其中：财政    资金</w:t>
            </w:r>
          </w:p>
        </w:tc>
        <w:tc>
          <w:tcPr>
            <w:tcW w:w="2551" w:type="dxa"/>
            <w:vAlign w:val="center"/>
          </w:tcPr>
          <w:p>
            <w:pPr>
              <w:pStyle w:val="12"/>
            </w:pPr>
            <w:r>
              <w:t>12.44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用于支付单位的差旅费，保障单位业务开展。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1.做好出差工作，保障单位业务开展。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3、法院审执业务费绩效目标表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13020024P006841128571</w:t>
            </w:r>
          </w:p>
        </w:tc>
        <w:tc>
          <w:tcPr>
            <w:tcW w:w="2835" w:type="dxa"/>
            <w:vAlign w:val="center"/>
          </w:tcPr>
          <w:p>
            <w:pPr>
              <w:pStyle w:val="10"/>
            </w:pPr>
            <w:r>
              <w:t>项目名称</w:t>
            </w:r>
          </w:p>
        </w:tc>
        <w:tc>
          <w:tcPr>
            <w:tcW w:w="6095" w:type="dxa"/>
            <w:gridSpan w:val="3"/>
            <w:vAlign w:val="center"/>
          </w:tcPr>
          <w:p>
            <w:pPr>
              <w:pStyle w:val="12"/>
            </w:pPr>
            <w:r>
              <w:t>法院审执业务费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38.56</w:t>
            </w:r>
          </w:p>
        </w:tc>
        <w:tc>
          <w:tcPr>
            <w:tcW w:w="2835" w:type="dxa"/>
            <w:vAlign w:val="center"/>
          </w:tcPr>
          <w:p>
            <w:pPr>
              <w:pStyle w:val="10"/>
            </w:pPr>
            <w:r>
              <w:t>其中：财政    资金</w:t>
            </w:r>
          </w:p>
        </w:tc>
        <w:tc>
          <w:tcPr>
            <w:tcW w:w="2551" w:type="dxa"/>
            <w:vAlign w:val="center"/>
          </w:tcPr>
          <w:p>
            <w:pPr>
              <w:pStyle w:val="12"/>
            </w:pPr>
            <w:r>
              <w:t>38.56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保障法院审执业务工作开展。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1.保障法院审执业务工作正常开展。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4、后勤保障经费绩效目标表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13020024P00684112856D</w:t>
            </w:r>
          </w:p>
        </w:tc>
        <w:tc>
          <w:tcPr>
            <w:tcW w:w="2835" w:type="dxa"/>
            <w:vAlign w:val="center"/>
          </w:tcPr>
          <w:p>
            <w:pPr>
              <w:pStyle w:val="10"/>
            </w:pPr>
            <w:r>
              <w:t>项目名称</w:t>
            </w:r>
          </w:p>
        </w:tc>
        <w:tc>
          <w:tcPr>
            <w:tcW w:w="6095" w:type="dxa"/>
            <w:gridSpan w:val="3"/>
            <w:vAlign w:val="center"/>
          </w:tcPr>
          <w:p>
            <w:pPr>
              <w:pStyle w:val="12"/>
            </w:pPr>
            <w:r>
              <w:t>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65.52</w:t>
            </w:r>
          </w:p>
        </w:tc>
        <w:tc>
          <w:tcPr>
            <w:tcW w:w="2835" w:type="dxa"/>
            <w:vAlign w:val="center"/>
          </w:tcPr>
          <w:p>
            <w:pPr>
              <w:pStyle w:val="10"/>
            </w:pPr>
            <w:r>
              <w:t>其中：财政    资金</w:t>
            </w:r>
          </w:p>
        </w:tc>
        <w:tc>
          <w:tcPr>
            <w:tcW w:w="2551" w:type="dxa"/>
            <w:vAlign w:val="center"/>
          </w:tcPr>
          <w:p>
            <w:pPr>
              <w:pStyle w:val="12"/>
            </w:pPr>
            <w:r>
              <w:t>65.52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支付后勤服务人员工作和部分日常公用支出。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1.支付后勤服务人员工资和部分日常公用支出，保障单位业务开展。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5、劳务费绩效目标表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13020024P00684112860K</w:t>
            </w:r>
          </w:p>
        </w:tc>
        <w:tc>
          <w:tcPr>
            <w:tcW w:w="2835" w:type="dxa"/>
            <w:vAlign w:val="center"/>
          </w:tcPr>
          <w:p>
            <w:pPr>
              <w:pStyle w:val="10"/>
            </w:pPr>
            <w:r>
              <w:t>项目名称</w:t>
            </w:r>
          </w:p>
        </w:tc>
        <w:tc>
          <w:tcPr>
            <w:tcW w:w="6095"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164.71</w:t>
            </w:r>
          </w:p>
        </w:tc>
        <w:tc>
          <w:tcPr>
            <w:tcW w:w="2835" w:type="dxa"/>
            <w:vAlign w:val="center"/>
          </w:tcPr>
          <w:p>
            <w:pPr>
              <w:pStyle w:val="10"/>
            </w:pPr>
            <w:r>
              <w:t>其中：财政    资金</w:t>
            </w:r>
          </w:p>
        </w:tc>
        <w:tc>
          <w:tcPr>
            <w:tcW w:w="2551" w:type="dxa"/>
            <w:vAlign w:val="center"/>
          </w:tcPr>
          <w:p>
            <w:pPr>
              <w:pStyle w:val="12"/>
            </w:pPr>
            <w:r>
              <w:t>164.71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1.按时为劳务派遣人员发放工资缴纳保险，保障法庭各业务正常开展。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保障人数</w:t>
            </w:r>
          </w:p>
        </w:tc>
        <w:tc>
          <w:tcPr>
            <w:tcW w:w="2268" w:type="dxa"/>
            <w:vAlign w:val="center"/>
          </w:tcPr>
          <w:p>
            <w:pPr>
              <w:pStyle w:val="12"/>
            </w:pPr>
            <w:r>
              <w:t>≤35人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6、网络建设及运维采购绩效目标表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13020024P006841128642</w:t>
            </w:r>
          </w:p>
        </w:tc>
        <w:tc>
          <w:tcPr>
            <w:tcW w:w="2835" w:type="dxa"/>
            <w:vAlign w:val="center"/>
          </w:tcPr>
          <w:p>
            <w:pPr>
              <w:pStyle w:val="10"/>
            </w:pPr>
            <w:r>
              <w:t>项目名称</w:t>
            </w:r>
          </w:p>
        </w:tc>
        <w:tc>
          <w:tcPr>
            <w:tcW w:w="6095" w:type="dxa"/>
            <w:gridSpan w:val="3"/>
            <w:vAlign w:val="center"/>
          </w:tcPr>
          <w:p>
            <w:pPr>
              <w:pStyle w:val="12"/>
            </w:pPr>
            <w:r>
              <w:t>网络建设及运维采购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14.98</w:t>
            </w:r>
          </w:p>
        </w:tc>
        <w:tc>
          <w:tcPr>
            <w:tcW w:w="2835" w:type="dxa"/>
            <w:vAlign w:val="center"/>
          </w:tcPr>
          <w:p>
            <w:pPr>
              <w:pStyle w:val="10"/>
            </w:pPr>
            <w:r>
              <w:t>其中：财政    资金</w:t>
            </w:r>
          </w:p>
        </w:tc>
        <w:tc>
          <w:tcPr>
            <w:tcW w:w="2551" w:type="dxa"/>
            <w:vAlign w:val="center"/>
          </w:tcPr>
          <w:p>
            <w:pPr>
              <w:pStyle w:val="12"/>
            </w:pPr>
            <w:r>
              <w:t>14.98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网络建设及运维采购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1.网络建设及运维采购，保障各项业务工作正常开展。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网络建设及运维采购覆盖率（%）</w:t>
            </w:r>
          </w:p>
        </w:tc>
        <w:tc>
          <w:tcPr>
            <w:tcW w:w="5386" w:type="dxa"/>
            <w:vAlign w:val="center"/>
          </w:tcPr>
          <w:p>
            <w:pPr>
              <w:pStyle w:val="12"/>
            </w:pPr>
            <w:r>
              <w:t>网络建设及运维采购覆盖率（%）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7、2023年第二批中央政法转移支付资金业务装备费（办公设备购置）绩效目标表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13020023P00000210061K</w:t>
            </w:r>
          </w:p>
        </w:tc>
        <w:tc>
          <w:tcPr>
            <w:tcW w:w="2835" w:type="dxa"/>
            <w:vAlign w:val="center"/>
          </w:tcPr>
          <w:p>
            <w:pPr>
              <w:pStyle w:val="10"/>
            </w:pPr>
            <w:r>
              <w:t>项目名称</w:t>
            </w:r>
          </w:p>
        </w:tc>
        <w:tc>
          <w:tcPr>
            <w:tcW w:w="6095" w:type="dxa"/>
            <w:gridSpan w:val="3"/>
            <w:vAlign w:val="center"/>
          </w:tcPr>
          <w:p>
            <w:pPr>
              <w:pStyle w:val="12"/>
            </w:pPr>
            <w:r>
              <w:t>2023年第二批中央政法转移支付资金业务装备费（办公设备购置）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由于新大楼的搬迁需添置各种家具设备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1.业务装备费</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唐财政法复[2023]43号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唐财政法复[2023]43号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8、2023年法院建设补助资金（“两庭”基础设施维修）绩效目标表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13020023P000002100556</w:t>
            </w:r>
          </w:p>
        </w:tc>
        <w:tc>
          <w:tcPr>
            <w:tcW w:w="2835" w:type="dxa"/>
            <w:vAlign w:val="center"/>
          </w:tcPr>
          <w:p>
            <w:pPr>
              <w:pStyle w:val="10"/>
            </w:pPr>
            <w:r>
              <w:t>项目名称</w:t>
            </w:r>
          </w:p>
        </w:tc>
        <w:tc>
          <w:tcPr>
            <w:tcW w:w="6095" w:type="dxa"/>
            <w:gridSpan w:val="3"/>
            <w:vAlign w:val="center"/>
          </w:tcPr>
          <w:p>
            <w:pPr>
              <w:pStyle w:val="12"/>
            </w:pPr>
            <w:r>
              <w:t>2023年法院建设补助资金（“两庭”基础设施维修）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w:t>
            </w:r>
          </w:p>
        </w:tc>
        <w:tc>
          <w:tcPr>
            <w:tcW w:w="2835" w:type="dxa"/>
            <w:vAlign w:val="center"/>
          </w:tcPr>
          <w:p>
            <w:pPr>
              <w:pStyle w:val="10"/>
            </w:pPr>
            <w:r>
              <w:t>其中：财政    资金</w:t>
            </w:r>
          </w:p>
        </w:tc>
        <w:tc>
          <w:tcPr>
            <w:tcW w:w="2551" w:type="dxa"/>
            <w:vAlign w:val="center"/>
          </w:tcPr>
          <w:p>
            <w:pPr>
              <w:pStyle w:val="12"/>
            </w:pPr>
            <w:r>
              <w:t>145.00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审判庭基础设施维修改造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1.用于基础设施维修（7个法庭维修）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唐财政法复[2023]17号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9、2023年法院建设补助资金（业务装备购置）绩效目标表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13020023P00000210056R</w:t>
            </w:r>
          </w:p>
        </w:tc>
        <w:tc>
          <w:tcPr>
            <w:tcW w:w="2835" w:type="dxa"/>
            <w:vAlign w:val="center"/>
          </w:tcPr>
          <w:p>
            <w:pPr>
              <w:pStyle w:val="10"/>
            </w:pPr>
            <w:r>
              <w:t>项目名称</w:t>
            </w:r>
          </w:p>
        </w:tc>
        <w:tc>
          <w:tcPr>
            <w:tcW w:w="6095" w:type="dxa"/>
            <w:gridSpan w:val="3"/>
            <w:vAlign w:val="center"/>
          </w:tcPr>
          <w:p>
            <w:pPr>
              <w:pStyle w:val="12"/>
            </w:pPr>
            <w:r>
              <w:t>2023年法院建设补助资金（业务装备购置）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34.71</w:t>
            </w:r>
          </w:p>
        </w:tc>
        <w:tc>
          <w:tcPr>
            <w:tcW w:w="2835" w:type="dxa"/>
            <w:vAlign w:val="center"/>
          </w:tcPr>
          <w:p>
            <w:pPr>
              <w:pStyle w:val="10"/>
            </w:pPr>
            <w:r>
              <w:t>其中：财政    资金</w:t>
            </w:r>
          </w:p>
        </w:tc>
        <w:tc>
          <w:tcPr>
            <w:tcW w:w="2551" w:type="dxa"/>
            <w:vAlign w:val="center"/>
          </w:tcPr>
          <w:p>
            <w:pPr>
              <w:pStyle w:val="12"/>
            </w:pPr>
            <w:r>
              <w:t>34.71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用于购买专用设备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1.用于安检设备警用设备购置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唐财政法复[2023]17号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唐财政法复[2023]17号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10、2023年省级政法转移支付资金办案业务费（印刷费）绩效目标表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13020023P00000210125U</w:t>
            </w:r>
          </w:p>
        </w:tc>
        <w:tc>
          <w:tcPr>
            <w:tcW w:w="2835" w:type="dxa"/>
            <w:vAlign w:val="center"/>
          </w:tcPr>
          <w:p>
            <w:pPr>
              <w:pStyle w:val="10"/>
            </w:pPr>
            <w:r>
              <w:t>项目名称</w:t>
            </w:r>
          </w:p>
        </w:tc>
        <w:tc>
          <w:tcPr>
            <w:tcW w:w="6095" w:type="dxa"/>
            <w:gridSpan w:val="3"/>
            <w:vAlign w:val="center"/>
          </w:tcPr>
          <w:p>
            <w:pPr>
              <w:pStyle w:val="12"/>
            </w:pPr>
            <w:r>
              <w:t>2023年省级政法转移支付资金办案业务费（印刷费）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6.79</w:t>
            </w:r>
          </w:p>
        </w:tc>
        <w:tc>
          <w:tcPr>
            <w:tcW w:w="2835" w:type="dxa"/>
            <w:vAlign w:val="center"/>
          </w:tcPr>
          <w:p>
            <w:pPr>
              <w:pStyle w:val="10"/>
            </w:pPr>
            <w:r>
              <w:t>其中：财政    资金</w:t>
            </w:r>
          </w:p>
        </w:tc>
        <w:tc>
          <w:tcPr>
            <w:tcW w:w="2551" w:type="dxa"/>
            <w:vAlign w:val="center"/>
          </w:tcPr>
          <w:p>
            <w:pPr>
              <w:pStyle w:val="12"/>
            </w:pPr>
            <w:r>
              <w:t>6.79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用于单位印刷品的印刷费用</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1.办案业务费用，保障法院工作的进行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11、2023年省级政法转移支付资金办案业务费（租赁费）绩效目标表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13020023P000002101273</w:t>
            </w:r>
          </w:p>
        </w:tc>
        <w:tc>
          <w:tcPr>
            <w:tcW w:w="2835" w:type="dxa"/>
            <w:vAlign w:val="center"/>
          </w:tcPr>
          <w:p>
            <w:pPr>
              <w:pStyle w:val="10"/>
            </w:pPr>
            <w:r>
              <w:t>项目名称</w:t>
            </w:r>
          </w:p>
        </w:tc>
        <w:tc>
          <w:tcPr>
            <w:tcW w:w="6095" w:type="dxa"/>
            <w:gridSpan w:val="3"/>
            <w:vAlign w:val="center"/>
          </w:tcPr>
          <w:p>
            <w:pPr>
              <w:pStyle w:val="12"/>
            </w:pPr>
            <w:r>
              <w:t>2023年省级政法转移支付资金办案业务费（租赁费）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0.67</w:t>
            </w:r>
          </w:p>
        </w:tc>
        <w:tc>
          <w:tcPr>
            <w:tcW w:w="2835" w:type="dxa"/>
            <w:vAlign w:val="center"/>
          </w:tcPr>
          <w:p>
            <w:pPr>
              <w:pStyle w:val="10"/>
            </w:pPr>
            <w:r>
              <w:t>其中：财政    资金</w:t>
            </w:r>
          </w:p>
        </w:tc>
        <w:tc>
          <w:tcPr>
            <w:tcW w:w="2551" w:type="dxa"/>
            <w:vAlign w:val="center"/>
          </w:tcPr>
          <w:p>
            <w:pPr>
              <w:pStyle w:val="12"/>
            </w:pPr>
            <w:r>
              <w:t>0.67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用于结清设备租赁费用</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1.办案业务费用，保障法院工作的进行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唐财政法复[2023]8号</w:t>
            </w:r>
          </w:p>
          <w:p>
            <w:pPr>
              <w:pStyle w:val="12"/>
            </w:pP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唐财政法复[2023]8号</w:t>
            </w:r>
          </w:p>
          <w:p>
            <w:pPr>
              <w:pStyle w:val="12"/>
            </w:pP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唐财政法复[2023]8号</w:t>
            </w:r>
          </w:p>
          <w:p>
            <w:pPr>
              <w:pStyle w:val="12"/>
            </w:pP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12、2023年省级政法转移支付资金业务装备费（办公设备购置）绩效目标表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13020023P000002101002</w:t>
            </w:r>
          </w:p>
        </w:tc>
        <w:tc>
          <w:tcPr>
            <w:tcW w:w="2835" w:type="dxa"/>
            <w:vAlign w:val="center"/>
          </w:tcPr>
          <w:p>
            <w:pPr>
              <w:pStyle w:val="10"/>
            </w:pPr>
            <w:r>
              <w:t>项目名称</w:t>
            </w:r>
          </w:p>
        </w:tc>
        <w:tc>
          <w:tcPr>
            <w:tcW w:w="6095" w:type="dxa"/>
            <w:gridSpan w:val="3"/>
            <w:vAlign w:val="center"/>
          </w:tcPr>
          <w:p>
            <w:pPr>
              <w:pStyle w:val="12"/>
            </w:pPr>
            <w:r>
              <w:t>2023年省级政法转移支付资金业务装备费（办公设备购置）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用于购买专用设备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1.业务装备费有，保障法院工作正常开展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13、2023年省级政法转移支付资金业务装备费（被装购置）绩效目标表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13020023P00000210111H</w:t>
            </w:r>
          </w:p>
        </w:tc>
        <w:tc>
          <w:tcPr>
            <w:tcW w:w="2835" w:type="dxa"/>
            <w:vAlign w:val="center"/>
          </w:tcPr>
          <w:p>
            <w:pPr>
              <w:pStyle w:val="10"/>
            </w:pPr>
            <w:r>
              <w:t>项目名称</w:t>
            </w:r>
          </w:p>
        </w:tc>
        <w:tc>
          <w:tcPr>
            <w:tcW w:w="6095" w:type="dxa"/>
            <w:gridSpan w:val="3"/>
            <w:vAlign w:val="center"/>
          </w:tcPr>
          <w:p>
            <w:pPr>
              <w:pStyle w:val="12"/>
            </w:pPr>
            <w:r>
              <w:t>2023年省级政法转移支付资金业务装备费（被装购置）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被装购置经费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25%</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1.被装购置经费</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年末工作计划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14、2023年省级政法转移支付资金业务装备费（信息网络及软件购置更新）绩效目标表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13020023P00000210109J</w:t>
            </w:r>
          </w:p>
        </w:tc>
        <w:tc>
          <w:tcPr>
            <w:tcW w:w="2835" w:type="dxa"/>
            <w:vAlign w:val="center"/>
          </w:tcPr>
          <w:p>
            <w:pPr>
              <w:pStyle w:val="10"/>
            </w:pPr>
            <w:r>
              <w:t>项目名称</w:t>
            </w:r>
          </w:p>
        </w:tc>
        <w:tc>
          <w:tcPr>
            <w:tcW w:w="6095" w:type="dxa"/>
            <w:gridSpan w:val="3"/>
            <w:vAlign w:val="center"/>
          </w:tcPr>
          <w:p>
            <w:pPr>
              <w:pStyle w:val="12"/>
            </w:pPr>
            <w:r>
              <w:t>2023年省级政法转移支付资金业务装备费（信息网络及软件购置更新）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0.08</w:t>
            </w:r>
          </w:p>
        </w:tc>
        <w:tc>
          <w:tcPr>
            <w:tcW w:w="2835" w:type="dxa"/>
            <w:vAlign w:val="center"/>
          </w:tcPr>
          <w:p>
            <w:pPr>
              <w:pStyle w:val="10"/>
            </w:pPr>
            <w:r>
              <w:t>其中：财政    资金</w:t>
            </w:r>
          </w:p>
        </w:tc>
        <w:tc>
          <w:tcPr>
            <w:tcW w:w="2551" w:type="dxa"/>
            <w:vAlign w:val="center"/>
          </w:tcPr>
          <w:p>
            <w:pPr>
              <w:pStyle w:val="12"/>
            </w:pPr>
            <w:r>
              <w:t>0.08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信息网络与软件购置费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1.业务装备费有，保障法院工作正常开展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15、2023年省级政法转移支付资金业务装备费（专用设备购置）绩效目标表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13020023P00000210103W</w:t>
            </w:r>
          </w:p>
        </w:tc>
        <w:tc>
          <w:tcPr>
            <w:tcW w:w="2835" w:type="dxa"/>
            <w:vAlign w:val="center"/>
          </w:tcPr>
          <w:p>
            <w:pPr>
              <w:pStyle w:val="10"/>
            </w:pPr>
            <w:r>
              <w:t>项目名称</w:t>
            </w:r>
          </w:p>
        </w:tc>
        <w:tc>
          <w:tcPr>
            <w:tcW w:w="6095" w:type="dxa"/>
            <w:gridSpan w:val="3"/>
            <w:vAlign w:val="center"/>
          </w:tcPr>
          <w:p>
            <w:pPr>
              <w:pStyle w:val="12"/>
            </w:pPr>
            <w:r>
              <w:t>2023年省级政法转移支付资金业务装备费（专用设备购置）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2.51</w:t>
            </w:r>
          </w:p>
        </w:tc>
        <w:tc>
          <w:tcPr>
            <w:tcW w:w="2835" w:type="dxa"/>
            <w:vAlign w:val="center"/>
          </w:tcPr>
          <w:p>
            <w:pPr>
              <w:pStyle w:val="10"/>
            </w:pPr>
            <w:r>
              <w:t>其中：财政    资金</w:t>
            </w:r>
          </w:p>
        </w:tc>
        <w:tc>
          <w:tcPr>
            <w:tcW w:w="2551" w:type="dxa"/>
            <w:vAlign w:val="center"/>
          </w:tcPr>
          <w:p>
            <w:pPr>
              <w:pStyle w:val="12"/>
            </w:pPr>
            <w:r>
              <w:t>2.51</w:t>
            </w:r>
          </w:p>
        </w:tc>
        <w:tc>
          <w:tcPr>
            <w:tcW w:w="2268" w:type="dxa"/>
            <w:vAlign w:val="center"/>
          </w:tcPr>
          <w:p>
            <w:pPr>
              <w:pStyle w:val="10"/>
            </w:pPr>
            <w:r>
              <w:t>其他资金</w:t>
            </w:r>
          </w:p>
        </w:tc>
        <w:tc>
          <w:tcPr>
            <w:tcW w:w="127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用于服务器软件购置、开发应用等支出</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1.业务装备费有，保障法院工作正常开展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唐财政法复[2023]8号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唐财政法复[2023]8号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16、2023年中央政法转移支付资金办案业务费（办公费）绩效目标表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13020023P00000210118T</w:t>
            </w:r>
          </w:p>
        </w:tc>
        <w:tc>
          <w:tcPr>
            <w:tcW w:w="2835" w:type="dxa"/>
            <w:vAlign w:val="center"/>
          </w:tcPr>
          <w:p>
            <w:pPr>
              <w:pStyle w:val="10"/>
            </w:pPr>
            <w:r>
              <w:t>项目名称</w:t>
            </w:r>
          </w:p>
        </w:tc>
        <w:tc>
          <w:tcPr>
            <w:tcW w:w="6095" w:type="dxa"/>
            <w:gridSpan w:val="3"/>
            <w:vAlign w:val="center"/>
          </w:tcPr>
          <w:p>
            <w:pPr>
              <w:pStyle w:val="12"/>
            </w:pPr>
            <w:r>
              <w:t>2023年中央政法转移支付资金办案业务费（办公费）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9.22</w:t>
            </w:r>
          </w:p>
        </w:tc>
        <w:tc>
          <w:tcPr>
            <w:tcW w:w="2835" w:type="dxa"/>
            <w:vAlign w:val="center"/>
          </w:tcPr>
          <w:p>
            <w:pPr>
              <w:pStyle w:val="10"/>
            </w:pPr>
            <w:r>
              <w:t>其中：财政    资金</w:t>
            </w:r>
          </w:p>
        </w:tc>
        <w:tc>
          <w:tcPr>
            <w:tcW w:w="2551" w:type="dxa"/>
            <w:vAlign w:val="center"/>
          </w:tcPr>
          <w:p>
            <w:pPr>
              <w:pStyle w:val="12"/>
            </w:pPr>
            <w:r>
              <w:t>9.22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购买办案办公用品</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1.办案业务费用，保障法院工作的进行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17、2023年中央政法转移支付资金办案业务费（其他交通费）绩效目标表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13020023P000002101221</w:t>
            </w:r>
          </w:p>
        </w:tc>
        <w:tc>
          <w:tcPr>
            <w:tcW w:w="2835" w:type="dxa"/>
            <w:vAlign w:val="center"/>
          </w:tcPr>
          <w:p>
            <w:pPr>
              <w:pStyle w:val="10"/>
            </w:pPr>
            <w:r>
              <w:t>项目名称</w:t>
            </w:r>
          </w:p>
        </w:tc>
        <w:tc>
          <w:tcPr>
            <w:tcW w:w="6095" w:type="dxa"/>
            <w:gridSpan w:val="3"/>
            <w:vAlign w:val="center"/>
          </w:tcPr>
          <w:p>
            <w:pPr>
              <w:pStyle w:val="12"/>
            </w:pPr>
            <w:r>
              <w:t>2023年中央政法转移支付资金办案业务费（其他交通费）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6.95</w:t>
            </w:r>
          </w:p>
        </w:tc>
        <w:tc>
          <w:tcPr>
            <w:tcW w:w="2835" w:type="dxa"/>
            <w:vAlign w:val="center"/>
          </w:tcPr>
          <w:p>
            <w:pPr>
              <w:pStyle w:val="10"/>
            </w:pPr>
            <w:r>
              <w:t>其中：财政    资金</w:t>
            </w:r>
          </w:p>
        </w:tc>
        <w:tc>
          <w:tcPr>
            <w:tcW w:w="2551" w:type="dxa"/>
            <w:vAlign w:val="center"/>
          </w:tcPr>
          <w:p>
            <w:pPr>
              <w:pStyle w:val="12"/>
            </w:pPr>
            <w:r>
              <w:t>6.95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办案车辆充值油款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1.办案业务费用，保障法院工作的进行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18、2023年中央政法转移支付资金办案业务费（维修（护）费）绩效目标表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13020023P000002101150</w:t>
            </w:r>
          </w:p>
        </w:tc>
        <w:tc>
          <w:tcPr>
            <w:tcW w:w="2835" w:type="dxa"/>
            <w:vAlign w:val="center"/>
          </w:tcPr>
          <w:p>
            <w:pPr>
              <w:pStyle w:val="10"/>
            </w:pPr>
            <w:r>
              <w:t>项目名称</w:t>
            </w:r>
          </w:p>
        </w:tc>
        <w:tc>
          <w:tcPr>
            <w:tcW w:w="6095" w:type="dxa"/>
            <w:gridSpan w:val="3"/>
            <w:vAlign w:val="center"/>
          </w:tcPr>
          <w:p>
            <w:pPr>
              <w:pStyle w:val="12"/>
            </w:pPr>
            <w:r>
              <w:t>2023年中央政法转移支付资金办案业务费（维修（护）费）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16.71</w:t>
            </w:r>
          </w:p>
        </w:tc>
        <w:tc>
          <w:tcPr>
            <w:tcW w:w="2835" w:type="dxa"/>
            <w:vAlign w:val="center"/>
          </w:tcPr>
          <w:p>
            <w:pPr>
              <w:pStyle w:val="10"/>
            </w:pPr>
            <w:r>
              <w:t>其中：财政    资金</w:t>
            </w:r>
          </w:p>
        </w:tc>
        <w:tc>
          <w:tcPr>
            <w:tcW w:w="2551" w:type="dxa"/>
            <w:vAlign w:val="center"/>
          </w:tcPr>
          <w:p>
            <w:pPr>
              <w:pStyle w:val="12"/>
            </w:pPr>
            <w:r>
              <w:t>16.71</w:t>
            </w:r>
          </w:p>
        </w:tc>
        <w:tc>
          <w:tcPr>
            <w:tcW w:w="2268" w:type="dxa"/>
            <w:vAlign w:val="center"/>
          </w:tcPr>
          <w:p>
            <w:pPr>
              <w:pStyle w:val="10"/>
            </w:pPr>
            <w:r>
              <w:t>其他资金</w:t>
            </w:r>
          </w:p>
        </w:tc>
        <w:tc>
          <w:tcPr>
            <w:tcW w:w="127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用于审判庭基础设施维修改造</w:t>
            </w:r>
          </w:p>
          <w:p>
            <w:pPr>
              <w:pStyle w:val="12"/>
            </w:pP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1.业务装备费有，保障法院工作正常开展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唐财政法复[2023]7号</w:t>
            </w:r>
          </w:p>
          <w:p>
            <w:pPr>
              <w:pStyle w:val="12"/>
            </w:pP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19、2023年中央政法转移支付资金业务装备费（办公设备购置）绩效目标表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13020023P00000210057D</w:t>
            </w:r>
          </w:p>
        </w:tc>
        <w:tc>
          <w:tcPr>
            <w:tcW w:w="2835" w:type="dxa"/>
            <w:vAlign w:val="center"/>
          </w:tcPr>
          <w:p>
            <w:pPr>
              <w:pStyle w:val="10"/>
            </w:pPr>
            <w:r>
              <w:t>项目名称</w:t>
            </w:r>
          </w:p>
        </w:tc>
        <w:tc>
          <w:tcPr>
            <w:tcW w:w="6095" w:type="dxa"/>
            <w:gridSpan w:val="3"/>
            <w:vAlign w:val="center"/>
          </w:tcPr>
          <w:p>
            <w:pPr>
              <w:pStyle w:val="12"/>
            </w:pPr>
            <w:r>
              <w:t>2023年中央政法转移支付资金业务装备费（办公设备购置）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w:t>
            </w:r>
          </w:p>
        </w:tc>
        <w:tc>
          <w:tcPr>
            <w:tcW w:w="2835" w:type="dxa"/>
            <w:vAlign w:val="center"/>
          </w:tcPr>
          <w:p>
            <w:pPr>
              <w:pStyle w:val="10"/>
            </w:pPr>
            <w:r>
              <w:t>其中：财政    资金</w:t>
            </w:r>
          </w:p>
        </w:tc>
        <w:tc>
          <w:tcPr>
            <w:tcW w:w="2551" w:type="dxa"/>
            <w:vAlign w:val="center"/>
          </w:tcPr>
          <w:p>
            <w:pPr>
              <w:pStyle w:val="12"/>
            </w:pPr>
            <w:r>
              <w:t>23.00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由于新大楼的搬迁需添置各种家具设备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1.业务装备费用，保障法院审判工作正常开展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20、2023年中央政法转移支付资金业务装备费（被装购置）绩效目标表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13020023P000002100600</w:t>
            </w:r>
          </w:p>
        </w:tc>
        <w:tc>
          <w:tcPr>
            <w:tcW w:w="2835" w:type="dxa"/>
            <w:vAlign w:val="center"/>
          </w:tcPr>
          <w:p>
            <w:pPr>
              <w:pStyle w:val="10"/>
            </w:pPr>
            <w:r>
              <w:t>项目名称</w:t>
            </w:r>
          </w:p>
        </w:tc>
        <w:tc>
          <w:tcPr>
            <w:tcW w:w="6095" w:type="dxa"/>
            <w:gridSpan w:val="3"/>
            <w:vAlign w:val="center"/>
          </w:tcPr>
          <w:p>
            <w:pPr>
              <w:pStyle w:val="12"/>
            </w:pPr>
            <w:r>
              <w:t>2023年中央政法转移支付资金业务装备费（被装购置）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用于单位服装款费用</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1.业务装备费有，保障法院工作正常开展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唐财政法复[2023]7号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唐财政法复[2023]7号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21、2023年中央政法转移支付资金业务装备费（专用设备购置）绩效目标表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13020023P000002100581</w:t>
            </w:r>
          </w:p>
        </w:tc>
        <w:tc>
          <w:tcPr>
            <w:tcW w:w="2835" w:type="dxa"/>
            <w:vAlign w:val="center"/>
          </w:tcPr>
          <w:p>
            <w:pPr>
              <w:pStyle w:val="10"/>
            </w:pPr>
            <w:r>
              <w:t>项目名称</w:t>
            </w:r>
          </w:p>
        </w:tc>
        <w:tc>
          <w:tcPr>
            <w:tcW w:w="6095" w:type="dxa"/>
            <w:gridSpan w:val="3"/>
            <w:vAlign w:val="center"/>
          </w:tcPr>
          <w:p>
            <w:pPr>
              <w:pStyle w:val="12"/>
            </w:pPr>
            <w:r>
              <w:t>2023年中央政法转移支付资金业务装备费（专用设备购置）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用于购买专用设备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1.购买专用设备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≥100工作完成率（%）</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≥100工作合格率（%）</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唐财政法复[2023]7号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≥90满意</w:t>
            </w:r>
          </w:p>
        </w:tc>
        <w:tc>
          <w:tcPr>
            <w:tcW w:w="1276" w:type="dxa"/>
            <w:vAlign w:val="center"/>
          </w:tcPr>
          <w:p>
            <w:pPr>
              <w:pStyle w:val="12"/>
            </w:pPr>
            <w:r>
              <w:t>唐财政法复[2023]7号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7" w:name="_Toc_3_3_0000000017"/>
      <w:r>
        <w:rPr>
          <w:rFonts w:ascii="黑体" w:hAnsi="黑体" w:eastAsia="黑体" w:cs="黑体"/>
          <w:color w:val="000000"/>
          <w:sz w:val="32"/>
        </w:rPr>
        <w:t>八、政府采购预算情况</w:t>
      </w:r>
      <w:bookmarkEnd w:id="17"/>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340滦南县人民法院</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332.92</w:t>
            </w:r>
          </w:p>
        </w:tc>
        <w:tc>
          <w:tcPr>
            <w:tcW w:w="964" w:type="dxa"/>
            <w:vAlign w:val="center"/>
          </w:tcPr>
          <w:p>
            <w:pPr>
              <w:pStyle w:val="15"/>
            </w:pPr>
            <w:r>
              <w:t>157.38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175.54</w:t>
            </w:r>
          </w:p>
        </w:tc>
        <w:tc>
          <w:tcPr>
            <w:tcW w:w="964" w:type="dxa"/>
            <w:vAlign w:val="center"/>
          </w:tcPr>
          <w:p>
            <w:pPr>
              <w:pStyle w:val="15"/>
            </w:pPr>
            <w:r>
              <w:t>332.92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滦南县人民法院本级小计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332.92</w:t>
            </w:r>
          </w:p>
        </w:tc>
        <w:tc>
          <w:tcPr>
            <w:tcW w:w="964" w:type="dxa"/>
            <w:vAlign w:val="center"/>
          </w:tcPr>
          <w:p>
            <w:pPr>
              <w:pStyle w:val="15"/>
            </w:pPr>
            <w:r>
              <w:t>157.38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175.54</w:t>
            </w:r>
          </w:p>
        </w:tc>
        <w:tc>
          <w:tcPr>
            <w:tcW w:w="964" w:type="dxa"/>
            <w:vAlign w:val="center"/>
          </w:tcPr>
          <w:p>
            <w:pPr>
              <w:pStyle w:val="15"/>
            </w:pPr>
            <w:r>
              <w:t>332.92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2023年法院建设补助资金（“两庭”基础设施维修）</w:t>
            </w:r>
          </w:p>
        </w:tc>
        <w:tc>
          <w:tcPr>
            <w:tcW w:w="964" w:type="dxa"/>
            <w:vAlign w:val="center"/>
          </w:tcPr>
          <w:p>
            <w:pPr>
              <w:pStyle w:val="11"/>
            </w:pPr>
            <w:r>
              <w:t>145.00</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145.00</w:t>
            </w:r>
          </w:p>
        </w:tc>
        <w:tc>
          <w:tcPr>
            <w:tcW w:w="964" w:type="dxa"/>
            <w:vAlign w:val="center"/>
          </w:tcPr>
          <w:p>
            <w:pPr>
              <w:pStyle w:val="11"/>
            </w:pPr>
            <w:r>
              <w:t>145.00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145.00</w:t>
            </w:r>
          </w:p>
        </w:tc>
        <w:tc>
          <w:tcPr>
            <w:tcW w:w="964" w:type="dxa"/>
            <w:vAlign w:val="center"/>
          </w:tcPr>
          <w:p>
            <w:pPr>
              <w:pStyle w:val="11"/>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2023年省级政法转移支付资金办案业务费（印刷费）</w:t>
            </w:r>
          </w:p>
        </w:tc>
        <w:tc>
          <w:tcPr>
            <w:tcW w:w="964" w:type="dxa"/>
            <w:vAlign w:val="center"/>
          </w:tcPr>
          <w:p>
            <w:pPr>
              <w:pStyle w:val="11"/>
            </w:pPr>
            <w:r>
              <w:t>6.79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6.79</w:t>
            </w:r>
          </w:p>
        </w:tc>
        <w:tc>
          <w:tcPr>
            <w:tcW w:w="964" w:type="dxa"/>
            <w:vAlign w:val="center"/>
          </w:tcPr>
          <w:p>
            <w:pPr>
              <w:pStyle w:val="11"/>
            </w:pPr>
            <w:r>
              <w:t>6.79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6.79</w:t>
            </w:r>
          </w:p>
        </w:tc>
        <w:tc>
          <w:tcPr>
            <w:tcW w:w="964" w:type="dxa"/>
            <w:vAlign w:val="center"/>
          </w:tcPr>
          <w:p>
            <w:pPr>
              <w:pStyle w:val="11"/>
            </w:pPr>
            <w:r>
              <w:t>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2023年省级政法转移支付资金业务装备费（被装购置）</w:t>
            </w:r>
          </w:p>
        </w:tc>
        <w:tc>
          <w:tcPr>
            <w:tcW w:w="964" w:type="dxa"/>
            <w:vAlign w:val="center"/>
          </w:tcPr>
          <w:p>
            <w:pPr>
              <w:pStyle w:val="11"/>
            </w:pPr>
            <w:r>
              <w:t>0.80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8</w:t>
            </w:r>
          </w:p>
        </w:tc>
        <w:tc>
          <w:tcPr>
            <w:tcW w:w="850" w:type="dxa"/>
            <w:vAlign w:val="center"/>
          </w:tcPr>
          <w:p>
            <w:pPr>
              <w:pStyle w:val="11"/>
            </w:pPr>
            <w:r>
              <w:t>0.10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2023年中央政法转移支付资金办案业务费（其他交通费）</w:t>
            </w:r>
          </w:p>
        </w:tc>
        <w:tc>
          <w:tcPr>
            <w:tcW w:w="964" w:type="dxa"/>
            <w:vAlign w:val="center"/>
          </w:tcPr>
          <w:p>
            <w:pPr>
              <w:pStyle w:val="11"/>
            </w:pPr>
            <w:r>
              <w:t>6.95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6.95</w:t>
            </w:r>
          </w:p>
        </w:tc>
        <w:tc>
          <w:tcPr>
            <w:tcW w:w="964" w:type="dxa"/>
            <w:vAlign w:val="center"/>
          </w:tcPr>
          <w:p>
            <w:pPr>
              <w:pStyle w:val="11"/>
            </w:pPr>
            <w:r>
              <w:t>6.95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6.95</w:t>
            </w:r>
          </w:p>
        </w:tc>
        <w:tc>
          <w:tcPr>
            <w:tcW w:w="964" w:type="dxa"/>
            <w:vAlign w:val="center"/>
          </w:tcPr>
          <w:p>
            <w:pPr>
              <w:pStyle w:val="11"/>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2023年中央政法转移支付资金业务装备费（办公设备购置）</w:t>
            </w:r>
          </w:p>
        </w:tc>
        <w:tc>
          <w:tcPr>
            <w:tcW w:w="964" w:type="dxa"/>
            <w:vAlign w:val="center"/>
          </w:tcPr>
          <w:p>
            <w:pPr>
              <w:pStyle w:val="11"/>
            </w:pPr>
            <w:r>
              <w:t>23.00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0.45</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2023年中央政法转移支付资金业务装备费（办公设备购置）</w:t>
            </w:r>
          </w:p>
        </w:tc>
        <w:tc>
          <w:tcPr>
            <w:tcW w:w="964" w:type="dxa"/>
            <w:vAlign w:val="center"/>
          </w:tcPr>
          <w:p>
            <w:pPr>
              <w:pStyle w:val="11"/>
            </w:pPr>
            <w:r>
              <w:t>23.00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2023年中央政法转移支付资金业务装备费（被装购置）</w:t>
            </w:r>
          </w:p>
        </w:tc>
        <w:tc>
          <w:tcPr>
            <w:tcW w:w="964" w:type="dxa"/>
            <w:vAlign w:val="center"/>
          </w:tcPr>
          <w:p>
            <w:pPr>
              <w:pStyle w:val="11"/>
            </w:pPr>
            <w:r>
              <w:t>2.00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20</w:t>
            </w:r>
          </w:p>
        </w:tc>
        <w:tc>
          <w:tcPr>
            <w:tcW w:w="850" w:type="dxa"/>
            <w:vAlign w:val="center"/>
          </w:tcPr>
          <w:p>
            <w:pPr>
              <w:pStyle w:val="11"/>
            </w:pPr>
            <w:r>
              <w:t>0.10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2023年中央政法转移支付资金业务装备费（专用设备购置）</w:t>
            </w:r>
          </w:p>
        </w:tc>
        <w:tc>
          <w:tcPr>
            <w:tcW w:w="964" w:type="dxa"/>
            <w:vAlign w:val="center"/>
          </w:tcPr>
          <w:p>
            <w:pPr>
              <w:pStyle w:val="11"/>
            </w:pPr>
            <w:r>
              <w:t>10.00</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0.30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160.33</w:t>
            </w:r>
          </w:p>
        </w:tc>
        <w:tc>
          <w:tcPr>
            <w:tcW w:w="1134" w:type="dxa"/>
            <w:vAlign w:val="center"/>
          </w:tcPr>
          <w:p>
            <w:pPr>
              <w:pStyle w:val="12"/>
            </w:pPr>
            <w:r>
              <w:t>邮政服务</w:t>
            </w:r>
          </w:p>
        </w:tc>
        <w:tc>
          <w:tcPr>
            <w:tcW w:w="1134" w:type="dxa"/>
            <w:vAlign w:val="center"/>
          </w:tcPr>
          <w:p>
            <w:pPr>
              <w:pStyle w:val="12"/>
            </w:pPr>
            <w:r>
              <w:t>C23100100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3.67</w:t>
            </w:r>
          </w:p>
        </w:tc>
        <w:tc>
          <w:tcPr>
            <w:tcW w:w="964" w:type="dxa"/>
            <w:vAlign w:val="center"/>
          </w:tcPr>
          <w:p>
            <w:pPr>
              <w:pStyle w:val="11"/>
            </w:pPr>
            <w:r>
              <w:t>3.67</w:t>
            </w:r>
          </w:p>
        </w:tc>
        <w:tc>
          <w:tcPr>
            <w:tcW w:w="964" w:type="dxa"/>
            <w:vAlign w:val="center"/>
          </w:tcPr>
          <w:p>
            <w:pPr>
              <w:pStyle w:val="11"/>
            </w:pPr>
            <w:r>
              <w:t>3.67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160.33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7.81</w:t>
            </w:r>
          </w:p>
        </w:tc>
        <w:tc>
          <w:tcPr>
            <w:tcW w:w="964" w:type="dxa"/>
            <w:vAlign w:val="center"/>
          </w:tcPr>
          <w:p>
            <w:pPr>
              <w:pStyle w:val="11"/>
            </w:pPr>
            <w:r>
              <w:t>7.81</w:t>
            </w:r>
          </w:p>
        </w:tc>
        <w:tc>
          <w:tcPr>
            <w:tcW w:w="964" w:type="dxa"/>
            <w:vAlign w:val="center"/>
          </w:tcPr>
          <w:p>
            <w:pPr>
              <w:pStyle w:val="11"/>
            </w:pPr>
            <w:r>
              <w:t>7.81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160.33</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10.90</w:t>
            </w:r>
          </w:p>
        </w:tc>
        <w:tc>
          <w:tcPr>
            <w:tcW w:w="964" w:type="dxa"/>
            <w:vAlign w:val="center"/>
          </w:tcPr>
          <w:p>
            <w:pPr>
              <w:pStyle w:val="11"/>
            </w:pPr>
            <w:r>
              <w:t>10.90</w:t>
            </w:r>
          </w:p>
        </w:tc>
        <w:tc>
          <w:tcPr>
            <w:tcW w:w="964" w:type="dxa"/>
            <w:vAlign w:val="center"/>
          </w:tcPr>
          <w:p>
            <w:pPr>
              <w:pStyle w:val="11"/>
            </w:pPr>
            <w:r>
              <w:t>10.90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160.33</w:t>
            </w:r>
          </w:p>
        </w:tc>
        <w:tc>
          <w:tcPr>
            <w:tcW w:w="1134" w:type="dxa"/>
            <w:vAlign w:val="center"/>
          </w:tcPr>
          <w:p>
            <w:pPr>
              <w:pStyle w:val="12"/>
            </w:pPr>
            <w:r>
              <w:t>其他商务服务</w:t>
            </w:r>
          </w:p>
        </w:tc>
        <w:tc>
          <w:tcPr>
            <w:tcW w:w="1134" w:type="dxa"/>
            <w:vAlign w:val="center"/>
          </w:tcPr>
          <w:p>
            <w:pPr>
              <w:pStyle w:val="12"/>
            </w:pPr>
            <w:r>
              <w:t>C23990000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办公用品采购</w:t>
            </w:r>
          </w:p>
        </w:tc>
        <w:tc>
          <w:tcPr>
            <w:tcW w:w="964" w:type="dxa"/>
            <w:vAlign w:val="center"/>
          </w:tcPr>
          <w:p>
            <w:pPr>
              <w:pStyle w:val="11"/>
            </w:pPr>
            <w:r>
              <w:t>45.00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后勤保障经费</w:t>
            </w:r>
          </w:p>
        </w:tc>
        <w:tc>
          <w:tcPr>
            <w:tcW w:w="964" w:type="dxa"/>
            <w:vAlign w:val="center"/>
          </w:tcPr>
          <w:p>
            <w:pPr>
              <w:pStyle w:val="11"/>
            </w:pPr>
            <w:r>
              <w:t>65.52</w:t>
            </w:r>
          </w:p>
        </w:tc>
        <w:tc>
          <w:tcPr>
            <w:tcW w:w="1134" w:type="dxa"/>
            <w:vAlign w:val="center"/>
          </w:tcPr>
          <w:p>
            <w:pPr>
              <w:pStyle w:val="12"/>
            </w:pPr>
            <w:r>
              <w:t>家政服务</w:t>
            </w:r>
          </w:p>
        </w:tc>
        <w:tc>
          <w:tcPr>
            <w:tcW w:w="1134" w:type="dxa"/>
            <w:vAlign w:val="center"/>
          </w:tcPr>
          <w:p>
            <w:pPr>
              <w:pStyle w:val="12"/>
            </w:pPr>
            <w:r>
              <w:t>C23230000</w:t>
            </w:r>
          </w:p>
        </w:tc>
        <w:tc>
          <w:tcPr>
            <w:tcW w:w="709" w:type="dxa"/>
            <w:vAlign w:val="center"/>
          </w:tcPr>
          <w:p>
            <w:pPr>
              <w:pStyle w:val="13"/>
            </w:pPr>
            <w:r>
              <w:t>万</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8" w:name="_Toc_3_3_0000000018"/>
      <w:r>
        <w:rPr>
          <w:rFonts w:ascii="黑体" w:hAnsi="黑体" w:eastAsia="黑体" w:cs="黑体"/>
          <w:color w:val="000000"/>
          <w:sz w:val="32"/>
        </w:rPr>
        <w:t>九、国有资产信息</w:t>
      </w:r>
      <w:bookmarkEnd w:id="18"/>
    </w:p>
    <w:p>
      <w:pPr>
        <w:spacing w:line="500" w:lineRule="exact"/>
        <w:ind w:firstLine="560"/>
      </w:pPr>
      <w:r>
        <w:rPr>
          <w:rFonts w:eastAsia="方正仿宋_GBK"/>
          <w:color w:val="000000"/>
          <w:sz w:val="28"/>
        </w:rPr>
        <w:t>滦南县人民法院（含所属单位）上年末固定资产金额为1941.21万元（详见下表）。本年度拟购置固定资产总额为159.35万元，已按要求列入政府采购预算，详见政府采购预算表。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340滦南县人民法院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rPr>
              <w:t>——</w:t>
            </w:r>
          </w:p>
        </w:tc>
        <w:tc>
          <w:tcPr>
            <w:tcW w:w="2835" w:type="dxa"/>
            <w:vAlign w:val="center"/>
          </w:tcPr>
          <w:p>
            <w:pPr>
              <w:pStyle w:val="11"/>
            </w:pPr>
            <w:r>
              <w:t>1941.21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9235</w:t>
            </w:r>
          </w:p>
        </w:tc>
        <w:tc>
          <w:tcPr>
            <w:tcW w:w="2835" w:type="dxa"/>
            <w:vAlign w:val="center"/>
          </w:tcPr>
          <w:p>
            <w:pPr>
              <w:pStyle w:val="11"/>
            </w:pPr>
            <w:r>
              <w:t>634.82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2430</w:t>
            </w:r>
          </w:p>
        </w:tc>
        <w:tc>
          <w:tcPr>
            <w:tcW w:w="2835" w:type="dxa"/>
            <w:vAlign w:val="center"/>
          </w:tcPr>
          <w:p>
            <w:pPr>
              <w:pStyle w:val="11"/>
            </w:pPr>
            <w:r>
              <w:t>25.31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14</w:t>
            </w:r>
          </w:p>
        </w:tc>
        <w:tc>
          <w:tcPr>
            <w:tcW w:w="2835" w:type="dxa"/>
            <w:vAlign w:val="center"/>
          </w:tcPr>
          <w:p>
            <w:pPr>
              <w:pStyle w:val="11"/>
            </w:pPr>
            <w:r>
              <w:t>209.34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1526</w:t>
            </w:r>
          </w:p>
        </w:tc>
        <w:tc>
          <w:tcPr>
            <w:tcW w:w="2835" w:type="dxa"/>
            <w:vAlign w:val="center"/>
          </w:tcPr>
          <w:p>
            <w:pPr>
              <w:pStyle w:val="11"/>
            </w:pPr>
            <w:r>
              <w:t>1039.85</w:t>
            </w:r>
          </w:p>
        </w:tc>
      </w:tr>
    </w:tbl>
    <w:p>
      <w:pPr>
        <w:ind w:firstLine="640"/>
      </w:pPr>
    </w:p>
    <w:p>
      <w:pPr>
        <w:spacing w:before="10" w:after="10"/>
        <w:ind w:firstLine="640"/>
        <w:outlineLvl w:val="2"/>
      </w:pPr>
      <w:bookmarkStart w:id="19" w:name="_Toc_3_3_0000000019"/>
      <w:r>
        <w:rPr>
          <w:rFonts w:ascii="黑体" w:hAnsi="黑体" w:eastAsia="黑体" w:cs="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hAnsi="黑体" w:eastAsia="黑体" w:cs="黑体"/>
          <w:color w:val="000000"/>
          <w:sz w:val="32"/>
        </w:rPr>
        <w:t>十一、其他需要说明的事项</w:t>
      </w:r>
      <w:bookmarkEnd w:id="20"/>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D09D2"/>
    <w:multiLevelType w:val="singleLevel"/>
    <w:tmpl w:val="3F5D09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506E6"/>
    <w:rsid w:val="000F77C9"/>
    <w:rsid w:val="007506E6"/>
    <w:rsid w:val="009E3B9B"/>
    <w:rsid w:val="037843DE"/>
    <w:rsid w:val="044A53E9"/>
    <w:rsid w:val="097210EF"/>
    <w:rsid w:val="0A145470"/>
    <w:rsid w:val="0F260232"/>
    <w:rsid w:val="0F7D25FA"/>
    <w:rsid w:val="0FB14320"/>
    <w:rsid w:val="12AC78D0"/>
    <w:rsid w:val="14924180"/>
    <w:rsid w:val="17A45327"/>
    <w:rsid w:val="1B3A2CBF"/>
    <w:rsid w:val="1DFF3777"/>
    <w:rsid w:val="21826DF4"/>
    <w:rsid w:val="23304DEE"/>
    <w:rsid w:val="271B58A1"/>
    <w:rsid w:val="27425750"/>
    <w:rsid w:val="275469E5"/>
    <w:rsid w:val="297F4287"/>
    <w:rsid w:val="29C56F80"/>
    <w:rsid w:val="2FAE32F5"/>
    <w:rsid w:val="30801926"/>
    <w:rsid w:val="328C1F8B"/>
    <w:rsid w:val="44033419"/>
    <w:rsid w:val="45B74609"/>
    <w:rsid w:val="465F50B8"/>
    <w:rsid w:val="4B4C4110"/>
    <w:rsid w:val="4BD022E6"/>
    <w:rsid w:val="4CE11F0F"/>
    <w:rsid w:val="4D0A1C00"/>
    <w:rsid w:val="4E2C32F0"/>
    <w:rsid w:val="4F14673C"/>
    <w:rsid w:val="55601AC7"/>
    <w:rsid w:val="57BA07AA"/>
    <w:rsid w:val="58A97648"/>
    <w:rsid w:val="598545F1"/>
    <w:rsid w:val="5DAE5CBC"/>
    <w:rsid w:val="62DD4BFF"/>
    <w:rsid w:val="65FF5543"/>
    <w:rsid w:val="67BE24B7"/>
    <w:rsid w:val="6846262A"/>
    <w:rsid w:val="68F87731"/>
    <w:rsid w:val="6A6B5408"/>
    <w:rsid w:val="6CB50990"/>
    <w:rsid w:val="6DB35D66"/>
    <w:rsid w:val="700102F4"/>
    <w:rsid w:val="72A31703"/>
    <w:rsid w:val="7352623B"/>
    <w:rsid w:val="75B423D3"/>
    <w:rsid w:val="7F7B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2024-01-29T16:11:06Z</dcterms:created>
  <dcterms:modified xsi:type="dcterms:W3CDTF">2024-01-29T08:11:06Z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2024-01-29T16:11:05Z</dcterms:created>
  <dcterms:modified xsi:type="dcterms:W3CDTF">2024-01-29T08:11:05Z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2024-01-29T16:11:03Z</dcterms:created>
  <dcterms:modified xsi:type="dcterms:W3CDTF">2024-01-29T08:11:03Z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2024-01-29T16:11:05Z</dcterms:created>
  <dcterms:modified xsi:type="dcterms:W3CDTF">2024-01-29T08:11:05Z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2024-01-29T16:11:04Z</dcterms:created>
  <dcterms:modified xsi:type="dcterms:W3CDTF">2024-01-29T08:11:04Z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2024-01-29T16:11:02Z</dcterms:created>
  <dcterms:modified xsi:type="dcterms:W3CDTF">2024-01-29T08:11:02Z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2024-01-29T16:11:00Z</dcterms:created>
  <dcterms:modified xsi:type="dcterms:W3CDTF">2024-01-29T08:11:00Z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2024-01-29T16:11:07Z</dcterms:created>
  <dcterms:modified xsi:type="dcterms:W3CDTF">2024-01-29T08:11:07Z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2024-01-29T16:11:03Z</dcterms:created>
  <dcterms:modified xsi:type="dcterms:W3CDTF">2024-01-29T08:11:03Z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2024-01-29T16:11:01Z</dcterms:created>
  <dcterms:modified xsi:type="dcterms:W3CDTF">2024-01-29T08:11:01Z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2024-01-29T16:11:06Z</dcterms:created>
  <dcterms:modified xsi:type="dcterms:W3CDTF">2024-01-29T08:11:06Z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2024-01-29T16:11:06Z</dcterms:created>
  <dcterms:modified xsi:type="dcterms:W3CDTF">2024-01-29T08:11:06Z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2024-01-29T16:11:05Z</dcterms:created>
  <dcterms:modified xsi:type="dcterms:W3CDTF">2024-01-29T08:11:05Z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2024-01-29T16:11:01Z</dcterms:created>
  <dcterms:modified xsi:type="dcterms:W3CDTF">2024-01-29T08:11:01Z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2024-01-29T16:10:50Z</dcterms:created>
  <dcterms:modified xsi:type="dcterms:W3CDTF">2024-01-29T08:10:50Z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2024-01-29T16:11:05Z</dcterms:created>
  <dcterms:modified xsi:type="dcterms:W3CDTF">2024-01-29T08:11:05Z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2024-01-29T16:11:04Z</dcterms:created>
  <dcterms:modified xsi:type="dcterms:W3CDTF">2024-01-29T08:11:04Z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2024-01-29T16:11:00Z</dcterms:created>
  <dcterms:modified xsi:type="dcterms:W3CDTF">2024-01-29T08:11:00Z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2024-01-29T16:11:04Z</dcterms:created>
  <dcterms:modified xsi:type="dcterms:W3CDTF">2024-01-29T08:11:04Z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2024-01-29T16:11:03Z</dcterms:created>
  <dcterms:modified xsi:type="dcterms:W3CDTF">2024-01-29T08:11:03Z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2024-01-29T16:11:02Z</dcterms:created>
  <dcterms:modified xsi:type="dcterms:W3CDTF">2024-01-29T08:11:02Z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2024-01-29T16:11:01Z</dcterms:created>
  <dcterms:modified xsi:type="dcterms:W3CDTF">2024-01-29T08:11:01Z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2024-01-29T16:11:00Z</dcterms:created>
  <dcterms:modified xsi:type="dcterms:W3CDTF">2024-01-29T08:11:00Z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2024-01-29T16:11:02Z</dcterms:created>
  <dcterms:modified xsi:type="dcterms:W3CDTF">2024-01-29T08:11:02Z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2024-01-29T16:11:01Z</dcterms:created>
  <dcterms:modified xsi:type="dcterms:W3CDTF">2024-01-29T08:11:00Z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447F90-77AE-4C0D-BB81-4C29BE6E451B}">
  <ds:schemaRefs/>
</ds:datastoreItem>
</file>

<file path=customXml/itemProps11.xml><?xml version="1.0" encoding="utf-8"?>
<ds:datastoreItem xmlns:ds="http://schemas.openxmlformats.org/officeDocument/2006/customXml" ds:itemID="{9332D08C-E32F-42C4-90EA-A24A632DA5E0}">
  <ds:schemaRefs/>
</ds:datastoreItem>
</file>

<file path=customXml/itemProps12.xml><?xml version="1.0" encoding="utf-8"?>
<ds:datastoreItem xmlns:ds="http://schemas.openxmlformats.org/officeDocument/2006/customXml" ds:itemID="{F3933753-C490-4EEB-9FA5-BF8F57148245}">
  <ds:schemaRefs/>
</ds:datastoreItem>
</file>

<file path=customXml/itemProps13.xml><?xml version="1.0" encoding="utf-8"?>
<ds:datastoreItem xmlns:ds="http://schemas.openxmlformats.org/officeDocument/2006/customXml" ds:itemID="{A152AEFD-6559-40E3-8CCA-0F8BA3631C95}">
  <ds:schemaRefs/>
</ds:datastoreItem>
</file>

<file path=customXml/itemProps14.xml><?xml version="1.0" encoding="utf-8"?>
<ds:datastoreItem xmlns:ds="http://schemas.openxmlformats.org/officeDocument/2006/customXml" ds:itemID="{C8625E2D-9A56-4884-A1E3-35E22C57D55C}">
  <ds:schemaRefs/>
</ds:datastoreItem>
</file>

<file path=customXml/itemProps15.xml><?xml version="1.0" encoding="utf-8"?>
<ds:datastoreItem xmlns:ds="http://schemas.openxmlformats.org/officeDocument/2006/customXml" ds:itemID="{54313F26-AC94-49AA-A1A7-7607AD15CBA0}">
  <ds:schemaRefs/>
</ds:datastoreItem>
</file>

<file path=customXml/itemProps16.xml><?xml version="1.0" encoding="utf-8"?>
<ds:datastoreItem xmlns:ds="http://schemas.openxmlformats.org/officeDocument/2006/customXml" ds:itemID="{33A5116C-805C-4262-B347-0E67D06E61CD}">
  <ds:schemaRefs/>
</ds:datastoreItem>
</file>

<file path=customXml/itemProps17.xml><?xml version="1.0" encoding="utf-8"?>
<ds:datastoreItem xmlns:ds="http://schemas.openxmlformats.org/officeDocument/2006/customXml" ds:itemID="{312E942D-4219-4323-9D47-60F962BB7298}">
  <ds:schemaRefs/>
</ds:datastoreItem>
</file>

<file path=customXml/itemProps18.xml><?xml version="1.0" encoding="utf-8"?>
<ds:datastoreItem xmlns:ds="http://schemas.openxmlformats.org/officeDocument/2006/customXml" ds:itemID="{843989EA-E3F7-46AA-8F49-D54038E709CA}">
  <ds:schemaRefs/>
</ds:datastoreItem>
</file>

<file path=customXml/itemProps19.xml><?xml version="1.0" encoding="utf-8"?>
<ds:datastoreItem xmlns:ds="http://schemas.openxmlformats.org/officeDocument/2006/customXml" ds:itemID="{E7799043-7497-4743-95DC-6A552C47840A}">
  <ds:schemaRefs/>
</ds:datastoreItem>
</file>

<file path=customXml/itemProps2.xml><?xml version="1.0" encoding="utf-8"?>
<ds:datastoreItem xmlns:ds="http://schemas.openxmlformats.org/officeDocument/2006/customXml" ds:itemID="{BEA0D2ED-ED9F-4423-827D-6A0673E65353}">
  <ds:schemaRefs/>
</ds:datastoreItem>
</file>

<file path=customXml/itemProps20.xml><?xml version="1.0" encoding="utf-8"?>
<ds:datastoreItem xmlns:ds="http://schemas.openxmlformats.org/officeDocument/2006/customXml" ds:itemID="{AC55F75F-A498-41BD-A98C-AA306C83BDDD}">
  <ds:schemaRefs/>
</ds:datastoreItem>
</file>

<file path=customXml/itemProps21.xml><?xml version="1.0" encoding="utf-8"?>
<ds:datastoreItem xmlns:ds="http://schemas.openxmlformats.org/officeDocument/2006/customXml" ds:itemID="{4D4CA313-D5E8-4BD1-992B-CD490A42E666}">
  <ds:schemaRefs/>
</ds:datastoreItem>
</file>

<file path=customXml/itemProps22.xml><?xml version="1.0" encoding="utf-8"?>
<ds:datastoreItem xmlns:ds="http://schemas.openxmlformats.org/officeDocument/2006/customXml" ds:itemID="{BE826F41-73DA-4408-A3A6-66B71936DD9C}">
  <ds:schemaRefs/>
</ds:datastoreItem>
</file>

<file path=customXml/itemProps23.xml><?xml version="1.0" encoding="utf-8"?>
<ds:datastoreItem xmlns:ds="http://schemas.openxmlformats.org/officeDocument/2006/customXml" ds:itemID="{8BCC3B92-29CF-42D4-8AEE-769033D8E001}">
  <ds:schemaRefs/>
</ds:datastoreItem>
</file>

<file path=customXml/itemProps24.xml><?xml version="1.0" encoding="utf-8"?>
<ds:datastoreItem xmlns:ds="http://schemas.openxmlformats.org/officeDocument/2006/customXml" ds:itemID="{FDC19CBC-07D1-4123-940C-65B36A5B5611}">
  <ds:schemaRefs/>
</ds:datastoreItem>
</file>

<file path=customXml/itemProps25.xml><?xml version="1.0" encoding="utf-8"?>
<ds:datastoreItem xmlns:ds="http://schemas.openxmlformats.org/officeDocument/2006/customXml" ds:itemID="{2F6ADA31-D7AA-4FAA-82BC-0361DA0EC951}">
  <ds:schemaRefs/>
</ds:datastoreItem>
</file>

<file path=customXml/itemProps26.xml><?xml version="1.0" encoding="utf-8"?>
<ds:datastoreItem xmlns:ds="http://schemas.openxmlformats.org/officeDocument/2006/customXml" ds:itemID="{889F2072-1E0D-46A5-9AA7-1E24A963A6EE}">
  <ds:schemaRefs/>
</ds:datastoreItem>
</file>

<file path=customXml/itemProps27.xml><?xml version="1.0" encoding="utf-8"?>
<ds:datastoreItem xmlns:ds="http://schemas.openxmlformats.org/officeDocument/2006/customXml" ds:itemID="{C10E50BA-D7C1-4000-A6E8-743223FEAB7A}">
  <ds:schemaRefs/>
</ds:datastoreItem>
</file>

<file path=customXml/itemProps28.xml><?xml version="1.0" encoding="utf-8"?>
<ds:datastoreItem xmlns:ds="http://schemas.openxmlformats.org/officeDocument/2006/customXml" ds:itemID="{BDCC4306-5449-4F8A-9611-84C208E9EFEB}">
  <ds:schemaRefs/>
</ds:datastoreItem>
</file>

<file path=customXml/itemProps29.xml><?xml version="1.0" encoding="utf-8"?>
<ds:datastoreItem xmlns:ds="http://schemas.openxmlformats.org/officeDocument/2006/customXml" ds:itemID="{A567173D-3325-4E97-A7E4-3B55F2129260}">
  <ds:schemaRefs/>
</ds:datastoreItem>
</file>

<file path=customXml/itemProps3.xml><?xml version="1.0" encoding="utf-8"?>
<ds:datastoreItem xmlns:ds="http://schemas.openxmlformats.org/officeDocument/2006/customXml" ds:itemID="{D7078F8C-0658-449C-B6DE-BB8592D15310}">
  <ds:schemaRefs/>
</ds:datastoreItem>
</file>

<file path=customXml/itemProps30.xml><?xml version="1.0" encoding="utf-8"?>
<ds:datastoreItem xmlns:ds="http://schemas.openxmlformats.org/officeDocument/2006/customXml" ds:itemID="{40CD73AF-DB39-4DE7-B7B6-5A304A31A8AD}">
  <ds:schemaRefs/>
</ds:datastoreItem>
</file>

<file path=customXml/itemProps31.xml><?xml version="1.0" encoding="utf-8"?>
<ds:datastoreItem xmlns:ds="http://schemas.openxmlformats.org/officeDocument/2006/customXml" ds:itemID="{C9ADC47E-C6D0-4B71-AE19-CB3A0BC8ACCA}">
  <ds:schemaRefs/>
</ds:datastoreItem>
</file>

<file path=customXml/itemProps32.xml><?xml version="1.0" encoding="utf-8"?>
<ds:datastoreItem xmlns:ds="http://schemas.openxmlformats.org/officeDocument/2006/customXml" ds:itemID="{AD09A09F-C0FE-46E2-B49A-2102A79E2A5C}">
  <ds:schemaRefs/>
</ds:datastoreItem>
</file>

<file path=customXml/itemProps33.xml><?xml version="1.0" encoding="utf-8"?>
<ds:datastoreItem xmlns:ds="http://schemas.openxmlformats.org/officeDocument/2006/customXml" ds:itemID="{508A774E-B91E-4493-9548-408DACF21DDC}">
  <ds:schemaRefs/>
</ds:datastoreItem>
</file>

<file path=customXml/itemProps34.xml><?xml version="1.0" encoding="utf-8"?>
<ds:datastoreItem xmlns:ds="http://schemas.openxmlformats.org/officeDocument/2006/customXml" ds:itemID="{77E7489B-42E2-4A94-A751-5D5DD58DD50C}">
  <ds:schemaRefs/>
</ds:datastoreItem>
</file>

<file path=customXml/itemProps35.xml><?xml version="1.0" encoding="utf-8"?>
<ds:datastoreItem xmlns:ds="http://schemas.openxmlformats.org/officeDocument/2006/customXml" ds:itemID="{C0D3D728-F977-497F-B400-2C2C5179A657}">
  <ds:schemaRefs/>
</ds:datastoreItem>
</file>

<file path=customXml/itemProps36.xml><?xml version="1.0" encoding="utf-8"?>
<ds:datastoreItem xmlns:ds="http://schemas.openxmlformats.org/officeDocument/2006/customXml" ds:itemID="{9B3B773C-97FF-4182-821C-F7525907804F}">
  <ds:schemaRefs/>
</ds:datastoreItem>
</file>

<file path=customXml/itemProps37.xml><?xml version="1.0" encoding="utf-8"?>
<ds:datastoreItem xmlns:ds="http://schemas.openxmlformats.org/officeDocument/2006/customXml" ds:itemID="{8E0DD2E9-E4C0-45A0-BBF3-06CBD57D4328}">
  <ds:schemaRefs/>
</ds:datastoreItem>
</file>

<file path=customXml/itemProps38.xml><?xml version="1.0" encoding="utf-8"?>
<ds:datastoreItem xmlns:ds="http://schemas.openxmlformats.org/officeDocument/2006/customXml" ds:itemID="{F58DF508-8D31-4BCA-876A-12B3212E4649}">
  <ds:schemaRefs/>
</ds:datastoreItem>
</file>

<file path=customXml/itemProps39.xml><?xml version="1.0" encoding="utf-8"?>
<ds:datastoreItem xmlns:ds="http://schemas.openxmlformats.org/officeDocument/2006/customXml" ds:itemID="{44DC3EA0-6A71-4D05-9B84-205AE653C399}">
  <ds:schemaRefs/>
</ds:datastoreItem>
</file>

<file path=customXml/itemProps4.xml><?xml version="1.0" encoding="utf-8"?>
<ds:datastoreItem xmlns:ds="http://schemas.openxmlformats.org/officeDocument/2006/customXml" ds:itemID="{CDB7A1BF-33EF-4D5B-830E-6F3CC1643E1D}">
  <ds:schemaRefs/>
</ds:datastoreItem>
</file>

<file path=customXml/itemProps40.xml><?xml version="1.0" encoding="utf-8"?>
<ds:datastoreItem xmlns:ds="http://schemas.openxmlformats.org/officeDocument/2006/customXml" ds:itemID="{52C498CF-CE70-4F9C-ADA4-56BABD6ED4A7}">
  <ds:schemaRefs/>
</ds:datastoreItem>
</file>

<file path=customXml/itemProps41.xml><?xml version="1.0" encoding="utf-8"?>
<ds:datastoreItem xmlns:ds="http://schemas.openxmlformats.org/officeDocument/2006/customXml" ds:itemID="{A3D3321A-62A4-4384-89F3-C07EF1C38A61}">
  <ds:schemaRefs/>
</ds:datastoreItem>
</file>

<file path=customXml/itemProps42.xml><?xml version="1.0" encoding="utf-8"?>
<ds:datastoreItem xmlns:ds="http://schemas.openxmlformats.org/officeDocument/2006/customXml" ds:itemID="{345CDAC8-E604-4957-B102-1FFFA72376EF}">
  <ds:schemaRefs/>
</ds:datastoreItem>
</file>

<file path=customXml/itemProps43.xml><?xml version="1.0" encoding="utf-8"?>
<ds:datastoreItem xmlns:ds="http://schemas.openxmlformats.org/officeDocument/2006/customXml" ds:itemID="{287E12A1-A0DF-46DE-A8F0-E5A79C3CE484}">
  <ds:schemaRefs/>
</ds:datastoreItem>
</file>

<file path=customXml/itemProps44.xml><?xml version="1.0" encoding="utf-8"?>
<ds:datastoreItem xmlns:ds="http://schemas.openxmlformats.org/officeDocument/2006/customXml" ds:itemID="{79993F20-07B1-427F-A4FC-220AE6F9C815}">
  <ds:schemaRefs/>
</ds:datastoreItem>
</file>

<file path=customXml/itemProps45.xml><?xml version="1.0" encoding="utf-8"?>
<ds:datastoreItem xmlns:ds="http://schemas.openxmlformats.org/officeDocument/2006/customXml" ds:itemID="{49FCF22D-FA31-4BEF-9A27-905D62CBC412}">
  <ds:schemaRefs/>
</ds:datastoreItem>
</file>

<file path=customXml/itemProps46.xml><?xml version="1.0" encoding="utf-8"?>
<ds:datastoreItem xmlns:ds="http://schemas.openxmlformats.org/officeDocument/2006/customXml" ds:itemID="{4AAF0F30-5C5A-4D05-82DA-F7ED7C1E6AE5}">
  <ds:schemaRefs/>
</ds:datastoreItem>
</file>

<file path=customXml/itemProps47.xml><?xml version="1.0" encoding="utf-8"?>
<ds:datastoreItem xmlns:ds="http://schemas.openxmlformats.org/officeDocument/2006/customXml" ds:itemID="{15F69C14-DACF-4E9B-AF0C-A79F87F05EA0}">
  <ds:schemaRefs/>
</ds:datastoreItem>
</file>

<file path=customXml/itemProps48.xml><?xml version="1.0" encoding="utf-8"?>
<ds:datastoreItem xmlns:ds="http://schemas.openxmlformats.org/officeDocument/2006/customXml" ds:itemID="{C41B94BF-2C93-4637-AA21-FABFFC9D8BF2}">
  <ds:schemaRefs/>
</ds:datastoreItem>
</file>

<file path=customXml/itemProps49.xml><?xml version="1.0" encoding="utf-8"?>
<ds:datastoreItem xmlns:ds="http://schemas.openxmlformats.org/officeDocument/2006/customXml" ds:itemID="{2055FDC1-AF00-4148-87D3-AEAC204BC451}">
  <ds:schemaRefs/>
</ds:datastoreItem>
</file>

<file path=customXml/itemProps5.xml><?xml version="1.0" encoding="utf-8"?>
<ds:datastoreItem xmlns:ds="http://schemas.openxmlformats.org/officeDocument/2006/customXml" ds:itemID="{FD271951-A389-47BB-A238-6568B1AF1EF5}">
  <ds:schemaRefs/>
</ds:datastoreItem>
</file>

<file path=customXml/itemProps50.xml><?xml version="1.0" encoding="utf-8"?>
<ds:datastoreItem xmlns:ds="http://schemas.openxmlformats.org/officeDocument/2006/customXml" ds:itemID="{52B5F32D-4EE7-4E9D-8B6C-0289FAD45080}">
  <ds:schemaRefs/>
</ds:datastoreItem>
</file>

<file path=customXml/itemProps51.xml><?xml version="1.0" encoding="utf-8"?>
<ds:datastoreItem xmlns:ds="http://schemas.openxmlformats.org/officeDocument/2006/customXml" ds:itemID="{FA17F50F-678B-48F8-860E-F70FB0F0DF90}">
  <ds:schemaRefs/>
</ds:datastoreItem>
</file>

<file path=customXml/itemProps6.xml><?xml version="1.0" encoding="utf-8"?>
<ds:datastoreItem xmlns:ds="http://schemas.openxmlformats.org/officeDocument/2006/customXml" ds:itemID="{E88C9541-C89F-4771-84E0-F2A2C622263B}">
  <ds:schemaRefs/>
</ds:datastoreItem>
</file>

<file path=customXml/itemProps7.xml><?xml version="1.0" encoding="utf-8"?>
<ds:datastoreItem xmlns:ds="http://schemas.openxmlformats.org/officeDocument/2006/customXml" ds:itemID="{8DAC872A-BAC3-4145-8BFB-1A0ADD1429A2}">
  <ds:schemaRefs/>
</ds:datastoreItem>
</file>

<file path=customXml/itemProps8.xml><?xml version="1.0" encoding="utf-8"?>
<ds:datastoreItem xmlns:ds="http://schemas.openxmlformats.org/officeDocument/2006/customXml" ds:itemID="{492FA67F-DD0D-4C62-B596-8E27672A13CF}">
  <ds:schemaRefs/>
</ds:datastoreItem>
</file>

<file path=customXml/itemProps9.xml><?xml version="1.0" encoding="utf-8"?>
<ds:datastoreItem xmlns:ds="http://schemas.openxmlformats.org/officeDocument/2006/customXml" ds:itemID="{16ED66CE-C63C-44F6-BA0D-8DE1B56CE2D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3887</Words>
  <Characters>22160</Characters>
  <Lines>184</Lines>
  <Paragraphs>51</Paragraphs>
  <TotalTime>7</TotalTime>
  <ScaleCrop>false</ScaleCrop>
  <LinksUpToDate>false</LinksUpToDate>
  <CharactersWithSpaces>25996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2024-01-29T08:14:00Z</dcterms:created>
  <dc:creator>Administrator</dc:creator>
  <cp:lastModifiedBy>Administrator</cp:lastModifiedBy>
  <dcterms:modified xsi:type="dcterms:W3CDTF">2024-02-22T09:11:24Z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