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drawing>
          <wp:anchor distT="0" distB="0" distL="114300" distR="114300" simplePos="0" relativeHeight="251659264" behindDoc="1" locked="0" layoutInCell="1" allowOverlap="1">
            <wp:simplePos x="0" y="0"/>
            <wp:positionH relativeFrom="margin">
              <wp:posOffset>-2874010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w:drawing>
          <wp:anchor distT="0" distB="0" distL="114300" distR="114300" simplePos="0" relativeHeight="251663360" behindDoc="0" locked="0" layoutInCell="1" allowOverlap="1">
            <wp:simplePos x="0" y="0"/>
            <wp:positionH relativeFrom="column">
              <wp:posOffset>-104775</wp:posOffset>
            </wp:positionH>
            <wp:positionV relativeFrom="margin">
              <wp:posOffset>96520</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0" cstate="print">
                      <a:extLst>
                        <a:ext uri="{96DAC541-7B7A-43D3-8B79-37D633B846F1}">
                          <asvg:svgBlip xmlns:asvg="http://schemas.microsoft.com/office/drawing/2016/SVG/main" r:embed="rId11"/>
                        </a:ext>
                      </a:extLst>
                    </a:blip>
                    <a:stretch>
                      <a:fillRect/>
                    </a:stretch>
                  </pic:blipFill>
                  <pic:spPr>
                    <a:xfrm>
                      <a:off x="0" y="0"/>
                      <a:ext cx="506095" cy="506095"/>
                    </a:xfrm>
                    <a:prstGeom prst="rect">
                      <a:avLst/>
                    </a:prstGeom>
                  </pic:spPr>
                </pic:pic>
              </a:graphicData>
            </a:graphic>
          </wp:anchor>
        </w:drawing>
      </w:r>
      <w:r>
        <w:pict>
          <v:shape id="_x0000_s1037" o:spid="_x0000_s1037" o:spt="202" type="#_x0000_t202" style="position:absolute;left:0pt;margin-left:42.75pt;margin-top:-11.25pt;height:67.4pt;width:223.1pt;z-index:251667456;mso-width-relative:page;mso-height-relative:page;" filled="f" stroked="f" coordsize="21600,21600" o:gfxdata="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kQxqjTAAAABQEAAA8AAAAAAAAAAQAgAAAAIgAAAGRycy9kb3ducmV2&#10;LnhtbFBLAQIUABQAAAAIAIdO4kAgqRjdyAEAAGoDAAAOAAAAAAAAAAEAIAAAACIBAABkcnMvZTJv&#10;RG9jLnhtbFBLBQYAAAAABgAGAFkBAABcBQAAAAA=&#10;">
            <v:path/>
            <v:fill on="f" focussize="0,0"/>
            <v:stroke on="f"/>
            <v:imagedata o:title=""/>
            <o:lock v:ext="edit" aspectratio="f"/>
            <v:textbox>
              <w:txbxContent>
                <w:p>
                  <w:pPr>
                    <w:jc w:val="distribute"/>
                    <w:rPr>
                      <w:rFonts w:ascii="方正魏碑简体" w:hAnsi="Arial" w:eastAsia="方正魏碑简体" w:cs="Arial"/>
                      <w:color w:val="000000" w:themeColor="text1"/>
                      <w:kern w:val="0"/>
                      <w:sz w:val="22"/>
                    </w:rPr>
                  </w:pPr>
                  <w:r>
                    <w:rPr>
                      <w:rFonts w:hint="eastAsia" w:ascii="方正魏碑简体" w:hAnsi="Arial" w:eastAsia="方正魏碑简体" w:cs="Arial"/>
                      <w:color w:val="000000" w:themeColor="text1"/>
                      <w:spacing w:val="60"/>
                      <w:kern w:val="24"/>
                      <w:sz w:val="72"/>
                      <w:szCs w:val="72"/>
                    </w:rPr>
                    <w:t>2023年度</w:t>
                  </w:r>
                </w:p>
              </w:txbxContent>
            </v:textbox>
          </v:shape>
        </w:pict>
      </w: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2"/>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3"/>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4"/>
                    <a:stretch>
                      <a:fillRect/>
                    </a:stretch>
                  </pic:blipFill>
                  <pic:spPr>
                    <a:xfrm>
                      <a:off x="0" y="0"/>
                      <a:ext cx="2162810" cy="1310640"/>
                    </a:xfrm>
                    <a:prstGeom prst="rect">
                      <a:avLst/>
                    </a:prstGeom>
                  </pic:spPr>
                </pic:pic>
              </a:graphicData>
            </a:graphic>
          </wp:anchor>
        </w:drawing>
      </w:r>
      <w:r>
        <w:pict>
          <v:group id="_x0000_s1033" o:spid="_x0000_s1033" o:spt="203" style="position:absolute;left:0pt;margin-left:-219.15pt;margin-top:168.4pt;height:113.95pt;width:712.85pt;z-index:251662336;mso-width-relative:page;mso-height-relative:page;" coordorigin="-3504,4387" coordsize="19200,2716203">
            <o:lock v:ext="edit"/>
            <v:rect id="矩形 19" o:spid="_x0000_s1026" o:spt="1" style="position:absolute;left:-381;top:4387;height:2457;width:1834;v-text-anchor:middle;" fillcolor="#0176AB" filled="t" stroked="f" coordsize="21600,21600">
              <v:path/>
              <v:fill on="t" focussize="0,0"/>
              <v:stroke on="f"/>
              <v:imagedata o:title=""/>
              <o:lock v:ext="edit"/>
            </v:rect>
            <v:shape id="矩形 24" o:spid="_x0000_s1035" o:spt="100" style="position:absolute;left:-3504;top:6953;height:150;width:11815;" fillcolor="#E5AA57" filled="t" stroked="f" coordsize="7501732,94593" path="m0,0l7458720,6350,7501732,94593,0,94593,0,0xe">
              <v:path o:connecttype="segments" o:connectlocs="0,0;7463453,6619;7506490,98604;0,98604;0,0" o:connectangles="0,0,0,0,0"/>
              <v:fill on="t" focussize="0,0"/>
              <v:stroke on="f" joinstyle="round"/>
              <v:imagedata o:title=""/>
              <o:lock v:ext="edit"/>
            </v:shape>
            <v:shape id="矩形 25" o:spid="_x0000_s1034" o:spt="100" style="position:absolute;left:8331;top:6953;height:150;width:7365;" fillcolor="#0176AB" filled="t" stroked="f" coordsize="4676187,94594" path="m0,0l4676187,0,4676187,94594,57510,94594,0,0xe">
              <v:path o:connecttype="segments" o:connectlocs="0,0;4679715,0;4679715,98599;57552,98599;0,0" o:connectangles="0,0,0,0,0"/>
              <v:fill on="t" focussize="0,0"/>
              <v:stroke on="f" joinstyle="round"/>
              <v:imagedata o:title=""/>
              <o:lock v:ext="edit"/>
            </v:shape>
          </v:group>
        </w:pict>
      </w:r>
      <w:r>
        <w:pict>
          <v:shape id="文本框 33" o:spid="_x0000_s1027" o:spt="202" type="#_x0000_t202" style="position:absolute;left:0pt;margin-left:-19.95pt;margin-top:126.9pt;height:44.9pt;width:432.6pt;z-index:251660288;mso-width-relative:page;mso-height-relative:page;" filled="f" stroked="f" coordsize="21600,21600">
            <v:path/>
            <v:fill on="f" focussize="0,0"/>
            <v:stroke on="f" joinstyle="miter"/>
            <v:imagedata o:title=""/>
            <o:lock v:ext="edit"/>
            <v:textbox>
              <w:txbxContent>
                <w:p>
                  <w:pPr>
                    <w:jc w:val="distribute"/>
                    <w:rPr>
                      <w:rFonts w:ascii="思源黑体 CN Heavy" w:hAnsi="思源黑体 CN Heavy" w:eastAsia="思源黑体 CN Heavy"/>
                      <w:color w:val="A5A5A5" w:themeColor="background1" w:themeShade="A6"/>
                      <w:sz w:val="40"/>
                      <w:szCs w:val="40"/>
                    </w:rPr>
                  </w:pPr>
                </w:p>
              </w:txbxContent>
            </v:textbox>
          </v:shape>
        </w:pict>
      </w:r>
    </w:p>
    <w:p>
      <w:pPr>
        <w:widowControl/>
        <w:jc w:val="left"/>
      </w:pPr>
    </w:p>
    <w:p>
      <w:pPr>
        <w:widowControl/>
        <w:jc w:val="left"/>
      </w:pPr>
    </w:p>
    <w:p>
      <w:pPr>
        <w:widowControl/>
        <w:jc w:val="left"/>
      </w:pPr>
      <w:r>
        <w:pict>
          <v:shape id="文本框 32" o:spid="_x0000_s1042" o:spt="202" type="#_x0000_t202" style="position:absolute;left:0pt;margin-left:-18pt;margin-top:7.95pt;height:71.05pt;width:468.85pt;z-index:251669504;mso-width-relative:page;mso-height-relative:page;" filled="f" stroked="f" coordsize="21600,21600" o:gfxdata="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HiQQjUAAAABQEAAA8AAAAAAAAAAQAgAAAAIgAAAGRycy9kb3ducmV2&#10;LnhtbFBLAQIUABQAAAAIAIdO4kCBG5DlxwEAAGoDAAAOAAAAAAAAAAEAIAAAACMBAABkcnMvZTJv&#10;RG9jLnhtbFBLBQYAAAAABgAGAFkBAABcBQAAAAA=&#10;">
            <v:path/>
            <v:fill on="f" focussize="0,0"/>
            <v:stroke on="f"/>
            <v:imagedata o:title=""/>
            <o:lock v:ext="edit" aspectratio="f"/>
            <v:textbox>
              <w:txbxContent>
                <w:p>
                  <w:pPr>
                    <w:jc w:val="left"/>
                    <w:rPr>
                      <w:rFonts w:ascii="黑体" w:hAnsi="黑体" w:eastAsia="黑体" w:cs="黑体"/>
                      <w:color w:val="000000" w:themeColor="text1"/>
                      <w:kern w:val="0"/>
                      <w:sz w:val="24"/>
                      <w:szCs w:val="24"/>
                    </w:rPr>
                  </w:pPr>
                  <w:r>
                    <w:rPr>
                      <w:rFonts w:hint="eastAsia" w:ascii="黑体" w:hAnsi="黑体" w:eastAsia="黑体" w:cs="黑体"/>
                      <w:color w:val="000000" w:themeColor="text1"/>
                      <w:spacing w:val="60"/>
                      <w:kern w:val="24"/>
                      <w:sz w:val="96"/>
                      <w:szCs w:val="96"/>
                      <w:lang w:eastAsia="zh-CN"/>
                    </w:rPr>
                    <w:t>部门</w:t>
                  </w:r>
                  <w:r>
                    <w:rPr>
                      <w:rFonts w:hint="eastAsia" w:ascii="黑体" w:hAnsi="黑体" w:eastAsia="黑体" w:cs="黑体"/>
                      <w:color w:val="000000" w:themeColor="text1"/>
                      <w:spacing w:val="60"/>
                      <w:kern w:val="24"/>
                      <w:sz w:val="96"/>
                      <w:szCs w:val="96"/>
                    </w:rPr>
                    <w:t>决算公开文本</w:t>
                  </w:r>
                </w:p>
              </w:txbxContent>
            </v:textbox>
          </v:shape>
        </w:pict>
      </w:r>
    </w:p>
    <w:p>
      <w:pPr>
        <w:widowControl/>
        <w:jc w:val="left"/>
      </w:pPr>
    </w:p>
    <w:p>
      <w:pPr>
        <w:widowControl/>
        <w:jc w:val="left"/>
      </w:pPr>
    </w:p>
    <w:p>
      <w:pPr>
        <w:widowControl/>
        <w:jc w:val="left"/>
      </w:pPr>
      <w:bookmarkStart w:id="0" w:name="_GoBack"/>
      <w:bookmarkEnd w:id="0"/>
    </w:p>
    <w:p>
      <w:pPr>
        <w:widowControl/>
        <w:jc w:val="left"/>
      </w:pPr>
    </w:p>
    <w:p>
      <w:pPr>
        <w:widowControl/>
        <w:jc w:val="left"/>
      </w:pPr>
    </w:p>
    <w:p>
      <w:pPr>
        <w:widowControl/>
        <w:jc w:val="left"/>
      </w:pPr>
      <w:r>
        <w:pict>
          <v:group id="_x0000_s1028" o:spid="_x0000_s1028" o:spt="203" style="position:absolute;left:0pt;margin-left:-34.1pt;margin-top:6.7pt;height:148.45pt;width:468.85pt;z-index:251661312;mso-width-relative:page;mso-height-relative:page;" coordorigin="12098,1831" coordsize="9377,2969203">
            <o:lock v:ext="edit"/>
            <v:shape id="文本框 32" o:spid="_x0000_s1032" o:spt="202" type="#_x0000_t202" style="position:absolute;left:13325;top:1831;height:1348;width:4462;" filled="f" stroked="f" coordsize="21600,21600">
              <v:path/>
              <v:fill on="f" focussize="0,0"/>
              <v:stroke on="f" joinstyle="miter"/>
              <v:imagedata o:title=""/>
              <o:lock v:ext="edit"/>
              <v:textbox>
                <w:txbxContent>
                  <w:p>
                    <w:pPr>
                      <w:jc w:val="distribute"/>
                      <w:rPr>
                        <w:rFonts w:ascii="Arial Unicode MS" w:hAnsi="Arial" w:eastAsia="Arial Unicode MS" w:cs="Arial"/>
                        <w:color w:val="000000" w:themeColor="text1"/>
                        <w:sz w:val="22"/>
                      </w:rPr>
                    </w:pPr>
                    <w:r>
                      <w:rPr>
                        <w:rFonts w:hint="eastAsia" w:ascii="Arial Unicode MS" w:hAnsi="Arial" w:eastAsia="Arial Unicode MS" w:cs="Arial"/>
                        <w:color w:val="000000" w:themeColor="text1"/>
                        <w:spacing w:val="60"/>
                        <w:kern w:val="24"/>
                        <w:sz w:val="72"/>
                        <w:szCs w:val="72"/>
                      </w:rPr>
                      <w:t>2023年度</w:t>
                    </w:r>
                  </w:p>
                </w:txbxContent>
              </v:textbox>
            </v:shape>
            <v:group id="_x0000_s1029" o:spid="_x0000_s1029" o:spt="203" style="position:absolute;left:12098;top:3193;height:1607;width:9377;" coordorigin="6119,2843" coordsize="9377,1607">
              <o:lock v:ext="edit"/>
              <v:shape id="文本框 32" o:spid="_x0000_s1031" o:spt="202" type="#_x0000_t202" style="position:absolute;left:6119;top:2843;height:1421;width:9377;" filled="f" stroked="f" coordsize="21600,21600">
                <v:path/>
                <v:fill on="f" focussize="0,0"/>
                <v:stroke on="f" joinstyle="miter"/>
                <v:imagedata o:title=""/>
                <o:lock v:ext="edit"/>
                <v:textbox>
                  <w:txbxContent>
                    <w:p>
                      <w:pPr>
                        <w:jc w:val="left"/>
                        <w:rPr>
                          <w:rFonts w:ascii="黑体" w:hAnsi="黑体" w:eastAsia="黑体" w:cs="黑体"/>
                          <w:color w:val="000000" w:themeColor="text1"/>
                        </w:rPr>
                      </w:pPr>
                      <w:r>
                        <w:rPr>
                          <w:rFonts w:hint="eastAsia" w:ascii="黑体" w:hAnsi="黑体" w:eastAsia="黑体" w:cs="黑体"/>
                          <w:color w:val="000000" w:themeColor="text1"/>
                          <w:spacing w:val="60"/>
                          <w:kern w:val="24"/>
                          <w:sz w:val="96"/>
                          <w:szCs w:val="96"/>
                        </w:rPr>
                        <w:t>部门决算公开文本</w:t>
                      </w:r>
                    </w:p>
                  </w:txbxContent>
                </v:textbox>
              </v:shape>
              <v:line id="_x0000_s1030" o:spid="_x0000_s1030" o:spt="20" style="position:absolute;left:6226;top:4450;height:0;width:8700;" stroked="t" coordsize="21600,21600">
                <v:path arrowok="t"/>
                <v:fill focussize="0,0"/>
                <v:stroke weight="2.25pt" color="#325395" joinstyle="miter" dashstyle="1 1"/>
                <v:imagedata o:title=""/>
                <o:lock v:ext="edit"/>
              </v:line>
            </v:group>
          </v:group>
        </w:pict>
      </w:r>
    </w:p>
    <w:p>
      <w:pPr>
        <w:widowControl/>
        <w:jc w:val="left"/>
      </w:pPr>
      <w:r>
        <w:pict>
          <v:group id="组合 10" o:spid="_x0000_s1041" o:spt="203" style="position:absolute;left:0pt;margin-left:-219.9pt;margin-top:13.9pt;height:113.95pt;width:712.85pt;z-index:251668480;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">
            <o:lock v:ext="edit" aspectratio="f"/>
            <v:rect id="矩形 19" o:spid="_x0000_s1038"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path/>
              <v:fill on="t" focussize="0,0"/>
              <v:stroke on="f"/>
              <v:imagedata o:title=""/>
              <o:lock v:ext="edit" aspectratio="f"/>
            </v:rect>
            <v:shape id="矩形 24" o:spid="_x0000_s1039"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4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：804</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：唐山市“一港双城”（城镇化）工作委员会办公室</w:t>
      </w:r>
    </w:p>
    <w:p>
      <w:pPr>
        <w:spacing w:line="600" w:lineRule="auto"/>
        <w:jc w:val="left"/>
        <w:rPr>
          <w:rFonts w:ascii="楷体_GB2312" w:hAnsi="楷体_GB2312" w:eastAsia="楷体_GB2312" w:cs="楷体_GB2312"/>
          <w:color w:val="000000"/>
          <w:sz w:val="40"/>
          <w:szCs w:val="40"/>
        </w:rPr>
      </w:pPr>
    </w:p>
    <w:p>
      <w:pPr>
        <w:spacing w:line="600" w:lineRule="auto"/>
        <w:jc w:val="center"/>
        <w:rPr>
          <w:rFonts w:ascii="楷体_GB2312" w:hAnsi="楷体_GB2312" w:eastAsia="楷体_GB2312" w:cs="楷体_GB2312"/>
          <w:color w:val="000000"/>
          <w:sz w:val="40"/>
          <w:szCs w:val="40"/>
        </w:rPr>
      </w:pPr>
    </w:p>
    <w:p>
      <w:pPr>
        <w:spacing w:line="600" w:lineRule="auto"/>
        <w:jc w:val="center"/>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jc w:val="cente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eastAsia="zh-CN"/>
        </w:rPr>
        <w:t>九</w:t>
      </w:r>
      <w:r>
        <w:rPr>
          <w:rFonts w:hint="eastAsia" w:ascii="楷体_GB2312" w:hAnsi="楷体_GB2312" w:eastAsia="楷体_GB2312" w:cs="楷体_GB2312"/>
          <w:color w:val="000000"/>
          <w:sz w:val="40"/>
          <w:szCs w:val="40"/>
        </w:rPr>
        <w:t>月</w:t>
      </w:r>
    </w:p>
    <w:p>
      <w:pP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rPr>
        <w:t>部门</w:t>
      </w:r>
      <w:r>
        <w:rPr>
          <w:rFonts w:ascii="Times New Roman" w:hAnsi="Times New Roman" w:eastAsia="黑体" w:cs="Times New Roman"/>
          <w:sz w:val="32"/>
          <w:szCs w:val="32"/>
        </w:rPr>
        <w:t>概况</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部门职责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w:t>
      </w:r>
      <w:r>
        <w:rPr>
          <w:rFonts w:hint="eastAsia" w:ascii="Times New Roman" w:hAnsi="Times New Roman" w:eastAsia="黑体" w:cs="Times New Roman"/>
          <w:sz w:val="32"/>
          <w:szCs w:val="32"/>
        </w:rPr>
        <w:t>部门</w:t>
      </w:r>
      <w:r>
        <w:rPr>
          <w:rFonts w:ascii="Times New Roman" w:hAnsi="Times New Roman" w:eastAsia="黑体" w:cs="Times New Roman"/>
          <w:sz w:val="32"/>
          <w:szCs w:val="32"/>
        </w:rPr>
        <w:t>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2023年度部门</w:t>
      </w:r>
      <w:r>
        <w:rPr>
          <w:rFonts w:ascii="Times New Roman" w:hAnsi="Times New Roman" w:eastAsia="黑体" w:cs="Times New Roman"/>
          <w:sz w:val="32"/>
          <w:szCs w:val="32"/>
        </w:rPr>
        <w:t>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部分名词解释</w:t>
      </w:r>
    </w:p>
    <w:p>
      <w:pPr>
        <w:rPr>
          <w:rFonts w:ascii="Arial" w:hAnsi="Arial" w:eastAsia="Arial" w:cs="Arial"/>
          <w:color w:val="000000"/>
          <w:sz w:val="18"/>
          <w:szCs w:val="18"/>
          <w:shd w:val="clear" w:color="auto" w:fill="FFFFFF"/>
        </w:rPr>
      </w:pP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rPr>
          <w:rFonts w:ascii="Arial" w:hAnsi="Arial" w:eastAsia="Arial" w:cs="Arial"/>
          <w:color w:val="000000"/>
          <w:sz w:val="18"/>
          <w:szCs w:val="18"/>
          <w:shd w:val="clear" w:color="auto" w:fill="FFFFFF"/>
        </w:rPr>
      </w:pPr>
    </w:p>
    <w:p>
      <w:pPr>
        <w:pStyle w:val="11"/>
        <w:widowControl/>
        <w:shd w:val="clear" w:color="auto" w:fill="FFFFFF"/>
        <w:spacing w:beforeAutospacing="0" w:afterAutospacing="0"/>
        <w:jc w:val="center"/>
        <w:rPr>
          <w:rFonts w:ascii="黑体" w:hAnsi="宋体" w:eastAsia="黑体" w:cs="黑体"/>
          <w:color w:val="000000"/>
          <w:sz w:val="72"/>
          <w:szCs w:val="72"/>
          <w:shd w:val="clear" w:color="auto" w:fill="FFFFFF"/>
        </w:rPr>
      </w:pPr>
    </w:p>
    <w:p>
      <w:pPr>
        <w:pStyle w:val="11"/>
        <w:widowControl/>
        <w:shd w:val="clear" w:color="auto" w:fill="FFFFFF"/>
        <w:spacing w:beforeAutospacing="0" w:afterAutospacing="0"/>
        <w:jc w:val="center"/>
        <w:rPr>
          <w:rFonts w:ascii="黑体" w:hAnsi="宋体" w:eastAsia="黑体" w:cs="黑体"/>
          <w:color w:val="000000"/>
          <w:sz w:val="72"/>
          <w:szCs w:val="72"/>
          <w:shd w:val="clear" w:color="auto" w:fill="FFFFFF"/>
        </w:rPr>
      </w:pPr>
    </w:p>
    <w:p>
      <w:pPr>
        <w:pStyle w:val="11"/>
        <w:widowControl/>
        <w:shd w:val="clear" w:color="auto" w:fill="FFFFFF"/>
        <w:spacing w:beforeAutospacing="0" w:afterAutospacing="0"/>
        <w:jc w:val="center"/>
        <w:rPr>
          <w:rFonts w:ascii="黑体" w:hAnsi="宋体" w:eastAsia="黑体" w:cs="黑体"/>
          <w:color w:val="000000"/>
          <w:sz w:val="72"/>
          <w:szCs w:val="72"/>
          <w:shd w:val="clear" w:color="auto" w:fill="FFFFFF"/>
        </w:rPr>
      </w:pPr>
    </w:p>
    <w:p>
      <w:pPr>
        <w:pStyle w:val="11"/>
        <w:widowControl/>
        <w:shd w:val="clear" w:color="auto" w:fill="FFFFFF"/>
        <w:spacing w:beforeAutospacing="0" w:afterAutospacing="0"/>
        <w:jc w:val="center"/>
        <w:rPr>
          <w:rFonts w:ascii="Arial" w:hAnsi="Arial" w:eastAsia="Arial" w:cs="Arial"/>
          <w:color w:val="000000"/>
          <w:sz w:val="18"/>
          <w:szCs w:val="18"/>
        </w:rPr>
      </w:pPr>
      <w:r>
        <w:rPr>
          <w:rFonts w:hint="eastAsia" w:ascii="黑体" w:hAnsi="宋体" w:eastAsia="黑体" w:cs="黑体"/>
          <w:color w:val="000000"/>
          <w:sz w:val="72"/>
          <w:szCs w:val="72"/>
          <w:shd w:val="clear" w:color="auto" w:fill="FFFFFF"/>
        </w:rPr>
        <w:t>第一部分  部门概况</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rPr>
          <w:rFonts w:ascii="黑体" w:hAnsi="宋体" w:eastAsia="黑体" w:cs="黑体"/>
          <w:color w:val="000000"/>
          <w:sz w:val="33"/>
          <w:szCs w:val="33"/>
          <w:shd w:val="clear" w:color="auto" w:fill="FFFFFF"/>
        </w:rPr>
      </w:pPr>
      <w:r>
        <w:rPr>
          <w:rFonts w:hint="eastAsia" w:ascii="黑体" w:hAnsi="宋体" w:eastAsia="黑体" w:cs="黑体"/>
          <w:color w:val="000000"/>
          <w:sz w:val="33"/>
          <w:szCs w:val="33"/>
          <w:shd w:val="clear" w:color="auto" w:fill="FFFFFF"/>
        </w:rPr>
        <w:br w:type="page"/>
      </w:r>
    </w:p>
    <w:p>
      <w:pPr>
        <w:pStyle w:val="11"/>
        <w:widowControl/>
        <w:shd w:val="clear" w:color="auto" w:fill="FFFFFF"/>
        <w:spacing w:beforeAutospacing="0" w:afterAutospacing="0"/>
        <w:outlineLvl w:val="1"/>
        <w:rPr>
          <w:rFonts w:ascii="Arial" w:hAnsi="Arial" w:eastAsia="Arial" w:cs="Arial"/>
          <w:color w:val="000000"/>
          <w:sz w:val="32"/>
          <w:szCs w:val="32"/>
        </w:rPr>
      </w:pPr>
      <w:r>
        <w:rPr>
          <w:rFonts w:hint="eastAsia" w:ascii="黑体" w:hAnsi="宋体" w:eastAsia="黑体" w:cs="黑体"/>
          <w:color w:val="000000"/>
          <w:sz w:val="32"/>
          <w:szCs w:val="32"/>
          <w:shd w:val="clear" w:color="auto" w:fill="FFFFFF"/>
        </w:rPr>
        <w:t>一、部门职责</w:t>
      </w:r>
    </w:p>
    <w:p>
      <w:pPr>
        <w:pStyle w:val="11"/>
        <w:widowControl/>
        <w:shd w:val="clear" w:color="auto" w:fill="FFFFFF"/>
        <w:spacing w:beforeAutospacing="0" w:afterAutospacing="0"/>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1.代表市政府组织、协调、指导各相关部门和各县（市、区）推进</w:t>
      </w:r>
      <w:r>
        <w:rPr>
          <w:rFonts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rPr>
        <w:t>一港双城</w:t>
      </w:r>
      <w:r>
        <w:rPr>
          <w:rFonts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rPr>
        <w:t>建设各项工作，统筹谋划唐山港建设和市主城区、曹妃甸滨海新城的规划建设管理，推动落实</w:t>
      </w:r>
      <w:r>
        <w:rPr>
          <w:rFonts w:ascii="仿宋_GB2312" w:hAnsi="仿宋_GB2312" w:eastAsia="仿宋_GB2312" w:cs="仿宋_GB2312"/>
          <w:sz w:val="32"/>
          <w:szCs w:val="32"/>
          <w:shd w:val="clear" w:color="auto" w:fill="FFFFFF"/>
        </w:rPr>
        <w:t xml:space="preserve"> “</w:t>
      </w:r>
      <w:r>
        <w:rPr>
          <w:rFonts w:hint="eastAsia" w:ascii="仿宋_GB2312" w:hAnsi="仿宋_GB2312" w:eastAsia="仿宋_GB2312" w:cs="仿宋_GB2312"/>
          <w:sz w:val="32"/>
          <w:szCs w:val="32"/>
          <w:shd w:val="clear" w:color="auto" w:fill="FFFFFF"/>
        </w:rPr>
        <w:t>一港双城</w:t>
      </w:r>
      <w:r>
        <w:rPr>
          <w:rFonts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rPr>
        <w:t>发展战略。</w:t>
      </w:r>
    </w:p>
    <w:p>
      <w:pPr>
        <w:pStyle w:val="11"/>
        <w:widowControl/>
        <w:shd w:val="clear" w:color="auto" w:fill="FFFFFF"/>
        <w:spacing w:beforeAutospacing="0" w:afterAutospacing="0"/>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2.研究拟定政策措施。组织开展城市发展方向的调查研究，提出城市发展、城市转型等方面的意见建议：负责研究建立全市</w:t>
      </w:r>
      <w:r>
        <w:rPr>
          <w:rFonts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rPr>
        <w:t>一港双城</w:t>
      </w:r>
      <w:r>
        <w:rPr>
          <w:rFonts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rPr>
        <w:t>建设政策体系，组织拟定指导</w:t>
      </w:r>
      <w:r>
        <w:rPr>
          <w:rFonts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rPr>
        <w:t>一港双城</w:t>
      </w:r>
      <w:r>
        <w:rPr>
          <w:rFonts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rPr>
        <w:t>建设全市性工作的政策措施；针对工作推进中存在的重大共性问题，组织或参与研究拟定具体政策措施；负责研究拟定</w:t>
      </w:r>
      <w:r>
        <w:rPr>
          <w:rFonts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rPr>
        <w:t>一港双城</w:t>
      </w:r>
      <w:r>
        <w:rPr>
          <w:rFonts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rPr>
        <w:t>建设资金运作的政策建议，推广采用市场化手段进行重点项目投融资；负责统筹推进全市工程建设项目审批制度改革工作，组织或参与研究拟定改革政策，指导协调督促改革措施落实；负责牵头推进全市城建系统体制机制改革工作。</w:t>
      </w:r>
    </w:p>
    <w:p>
      <w:pPr>
        <w:pStyle w:val="11"/>
        <w:widowControl/>
        <w:shd w:val="clear" w:color="auto" w:fill="FFFFFF"/>
        <w:spacing w:beforeAutospacing="0" w:afterAutospacing="0"/>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3.协调指导规划体系建设。围绕落实</w:t>
      </w:r>
      <w:r>
        <w:rPr>
          <w:rFonts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rPr>
        <w:t>一港双城</w:t>
      </w:r>
      <w:r>
        <w:rPr>
          <w:rFonts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rPr>
        <w:t>发展战略，协调自然资源和规划部门健全完善国土空间规划、控制性详细规划、专项规划、城市设计、建设导则等与之配套的规划体系；指导自然资源和规划、发展改革、生态环境等部门，统筹推进</w:t>
      </w:r>
      <w:r>
        <w:rPr>
          <w:rFonts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rPr>
        <w:t>多规合一</w:t>
      </w:r>
      <w:r>
        <w:rPr>
          <w:rFonts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rPr>
        <w:t>工作。</w:t>
      </w:r>
    </w:p>
    <w:p>
      <w:pPr>
        <w:pStyle w:val="11"/>
        <w:widowControl/>
        <w:shd w:val="clear" w:color="auto" w:fill="FFFFFF"/>
        <w:spacing w:beforeAutospacing="0" w:afterAutospacing="0"/>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4.统筹推进重点项目建设。围绕</w:t>
      </w:r>
      <w:r>
        <w:rPr>
          <w:rFonts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rPr>
        <w:t>一港双城</w:t>
      </w:r>
      <w:r>
        <w:rPr>
          <w:rFonts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rPr>
        <w:t>建设战略目标和市委、市政府工作部署，组织制定全市</w:t>
      </w:r>
      <w:r>
        <w:rPr>
          <w:rFonts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rPr>
        <w:t>一港双城</w:t>
      </w:r>
      <w:r>
        <w:rPr>
          <w:rFonts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rPr>
        <w:t>建设年度计划，组织或参与制定专项行动计划；指导各相关部门、各县（市、区）细化</w:t>
      </w:r>
      <w:r>
        <w:rPr>
          <w:rFonts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rPr>
        <w:t>一港双城</w:t>
      </w:r>
      <w:r>
        <w:rPr>
          <w:rFonts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rPr>
        <w:t>建设任务，协调推进工作落实。</w:t>
      </w:r>
    </w:p>
    <w:p>
      <w:pPr>
        <w:pStyle w:val="11"/>
        <w:widowControl/>
        <w:shd w:val="clear" w:color="auto" w:fill="FFFFFF"/>
        <w:spacing w:beforeAutospacing="0" w:afterAutospacing="0"/>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5.统筹推进重点片区开发建设。负责统筹市中心城区重点片区的整体性运作；统筹推进重点片区规划方案编制、棚户区改造、征收拆迁、市政配套基础设施建设等工作开展协调、指导重点片区土地收储、一级开发及医院、学校等公共服务设施建设；推动实施</w:t>
      </w:r>
      <w:r>
        <w:rPr>
          <w:rFonts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rPr>
        <w:t>封闭运行、独立核算、盈亏互补、自求平衡</w:t>
      </w:r>
      <w:r>
        <w:rPr>
          <w:rFonts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rPr>
        <w:t>的重点片区资金运作模式；承担唐山市站西片区开发建设指挥部办公室的日常工作。</w:t>
      </w:r>
    </w:p>
    <w:p>
      <w:pPr>
        <w:pStyle w:val="11"/>
        <w:widowControl/>
        <w:shd w:val="clear" w:color="auto" w:fill="FFFFFF"/>
        <w:spacing w:beforeAutospacing="0" w:afterAutospacing="0"/>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6.协调、督导、考核工作落实。协调解决全市</w:t>
      </w:r>
      <w:r>
        <w:rPr>
          <w:rFonts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rPr>
        <w:t>一港双城</w:t>
      </w:r>
      <w:r>
        <w:rPr>
          <w:rFonts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rPr>
        <w:t>建设工作推进过程中的重点难点问题；代表市政府建立</w:t>
      </w:r>
      <w:r>
        <w:rPr>
          <w:rFonts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rPr>
        <w:t>一港双城</w:t>
      </w:r>
      <w:r>
        <w:rPr>
          <w:rFonts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rPr>
        <w:t>建设工作督导、考核机制，制定督导、考核办法，组织对各相关部门、各县（市、区）</w:t>
      </w:r>
      <w:r>
        <w:rPr>
          <w:rFonts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rPr>
        <w:t>一港双城</w:t>
      </w:r>
      <w:r>
        <w:rPr>
          <w:rFonts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rPr>
        <w:t>建设目标任务落实情况进行督导、考核。</w:t>
      </w:r>
    </w:p>
    <w:p>
      <w:pPr>
        <w:pStyle w:val="11"/>
        <w:widowControl/>
        <w:shd w:val="clear" w:color="auto" w:fill="FFFFFF"/>
        <w:spacing w:beforeAutospacing="0" w:afterAutospacing="0"/>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7.协调推动招商引资工作。参与搭建全市</w:t>
      </w:r>
      <w:r>
        <w:rPr>
          <w:rFonts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rPr>
        <w:t>一港双城</w:t>
      </w:r>
      <w:r>
        <w:rPr>
          <w:rFonts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rPr>
        <w:t>招商引资平台，协调推进各县（市、区）</w:t>
      </w:r>
      <w:r>
        <w:rPr>
          <w:rFonts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rPr>
        <w:t>一港双城</w:t>
      </w:r>
      <w:r>
        <w:rPr>
          <w:rFonts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rPr>
        <w:t>招商引资工作开展。</w:t>
      </w:r>
    </w:p>
    <w:p>
      <w:pPr>
        <w:pStyle w:val="11"/>
        <w:widowControl/>
        <w:shd w:val="clear" w:color="auto" w:fill="FFFFFF"/>
        <w:spacing w:beforeAutospacing="0" w:afterAutospacing="0"/>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8.统筹推进城市经济发展。统筹协调谋划城市经济发展方向，健全完善城市经济产业发展规划研究提出促进城市经济发展的政策措施建议；统筹研究确定城市经济年度重点项目并督促指导重点项目建设；指导和协调市中心城区城市经济招商引资工作；对年度城市经济发展目标实施情况进行督导调度、评价考核；承担市城市经济发展工作领导小组办公室的日常工作。</w:t>
      </w:r>
    </w:p>
    <w:p>
      <w:pPr>
        <w:pStyle w:val="11"/>
        <w:widowControl/>
        <w:shd w:val="clear" w:color="auto" w:fill="FFFFFF"/>
        <w:spacing w:beforeAutospacing="0" w:afterAutospacing="0"/>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9.完成市委、市政府交办的其他任务。</w:t>
      </w:r>
    </w:p>
    <w:p>
      <w:pPr>
        <w:pStyle w:val="11"/>
        <w:widowControl/>
        <w:shd w:val="clear" w:color="auto" w:fill="FFFFFF"/>
        <w:spacing w:beforeAutospacing="0" w:afterAutospacing="0"/>
        <w:outlineLvl w:val="1"/>
        <w:rPr>
          <w:rFonts w:ascii="Arial" w:hAnsi="Arial" w:eastAsia="Arial" w:cs="Arial"/>
          <w:color w:val="000000"/>
          <w:sz w:val="32"/>
          <w:szCs w:val="32"/>
        </w:rPr>
      </w:pPr>
      <w:r>
        <w:rPr>
          <w:rFonts w:hint="eastAsia" w:ascii="黑体" w:hAnsi="宋体" w:eastAsia="黑体" w:cs="黑体"/>
          <w:color w:val="000000"/>
          <w:sz w:val="32"/>
          <w:szCs w:val="32"/>
          <w:shd w:val="clear" w:color="auto" w:fill="FFFFFF"/>
        </w:rPr>
        <w:t>二、机构设置</w:t>
      </w:r>
    </w:p>
    <w:p>
      <w:pPr>
        <w:pStyle w:val="11"/>
        <w:widowControl/>
        <w:shd w:val="clear" w:color="auto" w:fill="FFFFFF"/>
        <w:spacing w:beforeAutospacing="0" w:afterAutospacing="0"/>
        <w:ind w:firstLine="640" w:firstLineChars="200"/>
        <w:rPr>
          <w:rFonts w:ascii="仿宋_GB2312" w:hAnsi="仿宋_GB2312" w:eastAsia="仿宋_GB2312" w:cs="仿宋_GB2312"/>
          <w:sz w:val="32"/>
          <w:szCs w:val="32"/>
          <w:shd w:val="clear" w:color="auto" w:fill="FFFFFF"/>
        </w:rPr>
      </w:pPr>
      <w:r>
        <w:rPr>
          <w:rFonts w:ascii="仿宋_GB2312" w:hAnsi="仿宋_GB2312" w:eastAsia="仿宋_GB2312" w:cs="仿宋_GB2312"/>
          <w:sz w:val="32"/>
          <w:szCs w:val="32"/>
          <w:shd w:val="clear" w:color="auto" w:fill="FFFFFF"/>
        </w:rPr>
        <w:t>从决算编报</w:t>
      </w:r>
      <w:r>
        <w:rPr>
          <w:rFonts w:hint="eastAsia" w:ascii="仿宋_GB2312" w:hAnsi="仿宋_GB2312" w:eastAsia="仿宋_GB2312" w:cs="仿宋_GB2312"/>
          <w:sz w:val="32"/>
          <w:szCs w:val="32"/>
          <w:shd w:val="clear" w:color="auto" w:fill="FFFFFF"/>
        </w:rPr>
        <w:t>单位</w:t>
      </w:r>
      <w:r>
        <w:rPr>
          <w:rFonts w:ascii="仿宋_GB2312" w:hAnsi="仿宋_GB2312" w:eastAsia="仿宋_GB2312" w:cs="仿宋_GB2312"/>
          <w:sz w:val="32"/>
          <w:szCs w:val="32"/>
          <w:shd w:val="clear" w:color="auto" w:fill="FFFFFF"/>
        </w:rPr>
        <w:t>构成看，纳入</w:t>
      </w:r>
      <w:r>
        <w:rPr>
          <w:rFonts w:hint="eastAsia" w:ascii="仿宋_GB2312" w:hAnsi="仿宋_GB2312" w:eastAsia="仿宋_GB2312" w:cs="仿宋_GB2312"/>
          <w:sz w:val="32"/>
          <w:szCs w:val="32"/>
          <w:shd w:val="clear" w:color="auto" w:fill="FFFFFF"/>
        </w:rPr>
        <w:t>2023</w:t>
      </w:r>
      <w:r>
        <w:rPr>
          <w:rFonts w:ascii="仿宋_GB2312" w:hAnsi="仿宋_GB2312" w:eastAsia="仿宋_GB2312" w:cs="仿宋_GB2312"/>
          <w:sz w:val="32"/>
          <w:szCs w:val="32"/>
          <w:shd w:val="clear" w:color="auto" w:fill="FFFFFF"/>
        </w:rPr>
        <w:t>年度</w:t>
      </w:r>
      <w:r>
        <w:rPr>
          <w:rFonts w:hint="eastAsia" w:ascii="仿宋_GB2312" w:hAnsi="仿宋_GB2312" w:eastAsia="仿宋_GB2312" w:cs="仿宋_GB2312"/>
          <w:sz w:val="32"/>
          <w:szCs w:val="32"/>
          <w:shd w:val="clear" w:color="auto" w:fill="FFFFFF"/>
        </w:rPr>
        <w:t>本部门</w:t>
      </w:r>
      <w:r>
        <w:rPr>
          <w:rFonts w:ascii="仿宋_GB2312" w:hAnsi="仿宋_GB2312" w:eastAsia="仿宋_GB2312" w:cs="仿宋_GB2312"/>
          <w:sz w:val="32"/>
          <w:szCs w:val="32"/>
          <w:shd w:val="clear" w:color="auto" w:fill="FFFFFF"/>
        </w:rPr>
        <w:t>决算汇编范围的独立核算</w:t>
      </w:r>
      <w:r>
        <w:rPr>
          <w:rFonts w:hint="eastAsia" w:ascii="仿宋_GB2312" w:hAnsi="仿宋_GB2312" w:eastAsia="仿宋_GB2312" w:cs="仿宋_GB2312"/>
          <w:sz w:val="32"/>
          <w:szCs w:val="32"/>
          <w:shd w:val="clear" w:color="auto" w:fill="FFFFFF"/>
        </w:rPr>
        <w:t>单位</w:t>
      </w:r>
      <w:r>
        <w:rPr>
          <w:rFonts w:ascii="仿宋_GB2312" w:hAnsi="仿宋_GB2312" w:eastAsia="仿宋_GB2312" w:cs="仿宋_GB2312"/>
          <w:sz w:val="32"/>
          <w:szCs w:val="32"/>
          <w:shd w:val="clear" w:color="auto" w:fill="FFFFFF"/>
        </w:rPr>
        <w:t>（以下简称“</w:t>
      </w:r>
      <w:r>
        <w:rPr>
          <w:rFonts w:hint="eastAsia" w:ascii="仿宋_GB2312" w:hAnsi="仿宋_GB2312" w:eastAsia="仿宋_GB2312" w:cs="仿宋_GB2312"/>
          <w:sz w:val="32"/>
          <w:szCs w:val="32"/>
          <w:shd w:val="clear" w:color="auto" w:fill="FFFFFF"/>
        </w:rPr>
        <w:t>单位</w:t>
      </w:r>
      <w:r>
        <w:rPr>
          <w:rFonts w:ascii="仿宋_GB2312" w:hAnsi="仿宋_GB2312" w:eastAsia="仿宋_GB2312" w:cs="仿宋_GB2312"/>
          <w:sz w:val="32"/>
          <w:szCs w:val="32"/>
          <w:shd w:val="clear" w:color="auto" w:fill="FFFFFF"/>
        </w:rPr>
        <w:t>”）共</w:t>
      </w:r>
      <w:r>
        <w:rPr>
          <w:rFonts w:hint="eastAsia" w:ascii="仿宋_GB2312" w:hAnsi="仿宋_GB2312" w:eastAsia="仿宋_GB2312" w:cs="仿宋_GB2312"/>
          <w:sz w:val="32"/>
          <w:szCs w:val="32"/>
          <w:shd w:val="clear" w:color="auto" w:fill="FFFFFF"/>
        </w:rPr>
        <w:t>2</w:t>
      </w:r>
      <w:r>
        <w:rPr>
          <w:rFonts w:ascii="仿宋_GB2312" w:hAnsi="仿宋_GB2312" w:eastAsia="仿宋_GB2312" w:cs="仿宋_GB2312"/>
          <w:sz w:val="32"/>
          <w:szCs w:val="32"/>
          <w:shd w:val="clear" w:color="auto" w:fill="FFFFFF"/>
        </w:rPr>
        <w:t>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序号</w:t>
            </w:r>
          </w:p>
        </w:tc>
        <w:tc>
          <w:tcPr>
            <w:tcW w:w="348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单位名称</w:t>
            </w:r>
          </w:p>
        </w:tc>
        <w:tc>
          <w:tcPr>
            <w:tcW w:w="244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单位基本性质</w:t>
            </w:r>
          </w:p>
        </w:tc>
        <w:tc>
          <w:tcPr>
            <w:tcW w:w="266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vAlign w:val="center"/>
          </w:tcPr>
          <w:p>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1</w:t>
            </w:r>
          </w:p>
        </w:tc>
        <w:tc>
          <w:tcPr>
            <w:tcW w:w="3485" w:type="dxa"/>
            <w:vAlign w:val="center"/>
          </w:tcPr>
          <w:p>
            <w:pPr>
              <w:spacing w:line="560" w:lineRule="exact"/>
              <w:jc w:val="left"/>
              <w:rPr>
                <w:rFonts w:ascii="仿宋_GB2312" w:hAnsi="Calibri" w:eastAsia="仿宋_GB2312" w:cs="ArialUnicodeMS"/>
                <w:sz w:val="28"/>
                <w:szCs w:val="28"/>
              </w:rPr>
            </w:pPr>
            <w:r>
              <w:rPr>
                <w:rFonts w:hint="eastAsia" w:ascii="仿宋_GB2312" w:hAnsi="Calibri" w:eastAsia="仿宋_GB2312" w:cs="ArialUnicodeMS"/>
                <w:sz w:val="28"/>
                <w:szCs w:val="28"/>
              </w:rPr>
              <w:t>唐山市“一港双城”（城镇化）工作委员会办公室(本级)</w:t>
            </w:r>
          </w:p>
        </w:tc>
        <w:tc>
          <w:tcPr>
            <w:tcW w:w="2445" w:type="dxa"/>
            <w:vAlign w:val="center"/>
          </w:tcPr>
          <w:p>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行政单位</w:t>
            </w:r>
          </w:p>
        </w:tc>
        <w:tc>
          <w:tcPr>
            <w:tcW w:w="2665" w:type="dxa"/>
            <w:vAlign w:val="center"/>
          </w:tcPr>
          <w:p>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vAlign w:val="center"/>
          </w:tcPr>
          <w:p>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2</w:t>
            </w:r>
          </w:p>
        </w:tc>
        <w:tc>
          <w:tcPr>
            <w:tcW w:w="3485" w:type="dxa"/>
            <w:vAlign w:val="center"/>
          </w:tcPr>
          <w:p>
            <w:pPr>
              <w:spacing w:line="560" w:lineRule="exact"/>
              <w:jc w:val="left"/>
              <w:rPr>
                <w:rFonts w:ascii="仿宋_GB2312" w:hAnsi="Calibri" w:eastAsia="仿宋_GB2312" w:cs="ArialUnicodeMS"/>
                <w:sz w:val="28"/>
                <w:szCs w:val="28"/>
              </w:rPr>
            </w:pPr>
            <w:r>
              <w:rPr>
                <w:rFonts w:hint="eastAsia" w:ascii="仿宋_GB2312" w:hAnsi="Calibri" w:eastAsia="仿宋_GB2312" w:cs="ArialUnicodeMS"/>
                <w:sz w:val="28"/>
                <w:szCs w:val="28"/>
              </w:rPr>
              <w:t>唐山市“一港双城”开发建设服务中心</w:t>
            </w:r>
          </w:p>
        </w:tc>
        <w:tc>
          <w:tcPr>
            <w:tcW w:w="2445" w:type="dxa"/>
            <w:vAlign w:val="center"/>
          </w:tcPr>
          <w:p>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财政补助事业单位</w:t>
            </w:r>
          </w:p>
        </w:tc>
        <w:tc>
          <w:tcPr>
            <w:tcW w:w="2665" w:type="dxa"/>
            <w:vAlign w:val="center"/>
          </w:tcPr>
          <w:p>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sz w:val="28"/>
                <w:szCs w:val="28"/>
              </w:rPr>
            </w:pPr>
            <w:r>
              <w:rPr>
                <w:rFonts w:hint="eastAsia" w:ascii="仿宋_GB2312" w:hAnsi="Calibri" w:eastAsia="仿宋_GB2312" w:cs="ArialUnicodeMS"/>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UnicodeMS"/>
                <w:sz w:val="28"/>
                <w:szCs w:val="28"/>
              </w:rPr>
            </w:pPr>
            <w:r>
              <w:rPr>
                <w:rFonts w:hint="eastAsia" w:ascii="仿宋_GB2312" w:hAnsi="Calibri" w:eastAsia="仿宋_GB2312" w:cs="ArialUnicodeMS"/>
                <w:sz w:val="28"/>
                <w:szCs w:val="28"/>
              </w:rPr>
              <w:t>2、经费形式分为财政拨款、财政性资金基本保证、财政性资金定额或定项补助、财政性资金零补助四类。</w:t>
            </w:r>
          </w:p>
        </w:tc>
      </w:tr>
    </w:tbl>
    <w:p>
      <w:pPr>
        <w:rPr>
          <w:rFonts w:ascii="Times New Roman" w:hAnsi="Times New Roman" w:eastAsia="黑体" w:cs="Times New Roman"/>
          <w:sz w:val="32"/>
          <w:szCs w:val="32"/>
        </w:rPr>
      </w:pPr>
      <w:r>
        <w:rPr>
          <w:rFonts w:hint="eastAsia" w:ascii="Times New Roman" w:hAnsi="Times New Roman" w:eastAsia="黑体" w:cs="Times New Roman"/>
          <w:sz w:val="32"/>
          <w:szCs w:val="32"/>
        </w:rPr>
        <w:br w:type="page"/>
      </w:r>
    </w:p>
    <w:p>
      <w:pPr>
        <w:widowControl/>
        <w:spacing w:after="160" w:line="580" w:lineRule="exact"/>
        <w:ind w:firstLine="640" w:firstLineChars="200"/>
        <w:rPr>
          <w:rFonts w:ascii="Times New Roman" w:hAnsi="Times New Roman" w:eastAsia="黑体" w:cs="Times New Roman"/>
          <w:sz w:val="32"/>
          <w:szCs w:val="32"/>
          <w:highlight w:val="yellow"/>
        </w:rPr>
      </w:pPr>
    </w:p>
    <w:p>
      <w:pPr>
        <w:pStyle w:val="11"/>
        <w:widowControl/>
        <w:shd w:val="clear" w:color="auto" w:fill="FFFFFF"/>
        <w:spacing w:beforeAutospacing="0" w:afterAutospacing="0"/>
        <w:rPr>
          <w:rFonts w:ascii="Arial" w:hAnsi="Arial" w:eastAsia="Arial" w:cs="Arial"/>
          <w:color w:val="000000"/>
          <w:sz w:val="18"/>
          <w:szCs w:val="18"/>
          <w:shd w:val="clear" w:color="auto" w:fill="FFFFFF"/>
        </w:rPr>
      </w:pPr>
    </w:p>
    <w:p>
      <w:pPr>
        <w:widowControl/>
        <w:shd w:val="clear" w:color="auto" w:fill="FFFFFF"/>
        <w:jc w:val="left"/>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outlineLvl w:val="0"/>
        <w:rPr>
          <w:rFonts w:ascii="Arial" w:hAnsi="Arial" w:eastAsia="Arial" w:cs="Arial"/>
        </w:rPr>
      </w:pPr>
      <w:r>
        <w:rPr>
          <w:rFonts w:hint="eastAsia" w:ascii="黑体" w:hAnsi="宋体" w:eastAsia="黑体" w:cs="黑体"/>
          <w:color w:val="000000"/>
          <w:sz w:val="72"/>
          <w:szCs w:val="72"/>
          <w:shd w:val="clear" w:color="auto" w:fill="FFFFFF"/>
        </w:rPr>
        <w:t>第二部分</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hint="eastAsia" w:ascii="黑体" w:hAnsi="宋体" w:eastAsia="黑体" w:cs="黑体"/>
          <w:color w:val="000000"/>
          <w:sz w:val="72"/>
          <w:szCs w:val="72"/>
          <w:shd w:val="clear" w:color="auto" w:fill="FFFFFF"/>
        </w:rPr>
        <w:t>2023年度部门决算报表</w:t>
      </w:r>
    </w:p>
    <w:p>
      <w:pPr>
        <w:pStyle w:val="11"/>
        <w:widowControl/>
        <w:spacing w:beforeAutospacing="0" w:afterAutospacing="0"/>
        <w:jc w:val="center"/>
        <w:rPr>
          <w:rFonts w:ascii="仿宋_GB2312" w:hAnsi="仿宋_GB2312" w:eastAsia="仿宋_GB2312" w:cs="仿宋_GB2312"/>
          <w:color w:val="FF0000"/>
          <w:sz w:val="33"/>
          <w:szCs w:val="33"/>
          <w:shd w:val="clear" w:color="auto" w:fill="FFFFFF"/>
        </w:rPr>
      </w:pPr>
    </w:p>
    <w:p>
      <w:pPr>
        <w:pStyle w:val="11"/>
        <w:widowControl/>
        <w:spacing w:beforeAutospacing="0" w:afterAutospacing="0"/>
        <w:jc w:val="center"/>
        <w:rPr>
          <w:rFonts w:ascii="仿宋_GB2312" w:hAnsi="仿宋_GB2312" w:eastAsia="仿宋_GB2312" w:cs="仿宋_GB2312"/>
          <w:color w:val="FF0000"/>
          <w:sz w:val="33"/>
          <w:szCs w:val="33"/>
          <w:shd w:val="clear" w:color="auto" w:fill="FFFFFF"/>
        </w:rPr>
        <w:sectPr>
          <w:headerReference r:id="rId7" w:type="default"/>
          <w:pgSz w:w="11906" w:h="16838"/>
          <w:pgMar w:top="1531" w:right="1984" w:bottom="1531" w:left="2098" w:header="851" w:footer="992" w:gutter="0"/>
          <w:cols w:space="720" w:num="1"/>
          <w:docGrid w:type="lines" w:linePitch="312" w:charSpace="0"/>
        </w:sectPr>
      </w:pPr>
    </w:p>
    <w:tbl>
      <w:tblPr>
        <w:tblStyle w:val="12"/>
        <w:tblW w:w="7250" w:type="pct"/>
        <w:tblInd w:w="-1817" w:type="dxa"/>
        <w:tblLayout w:type="fixed"/>
        <w:tblCellMar>
          <w:top w:w="0" w:type="dxa"/>
          <w:left w:w="108" w:type="dxa"/>
          <w:bottom w:w="0" w:type="dxa"/>
          <w:right w:w="108" w:type="dxa"/>
        </w:tblCellMar>
      </w:tblPr>
      <w:tblGrid>
        <w:gridCol w:w="3343"/>
        <w:gridCol w:w="623"/>
        <w:gridCol w:w="613"/>
        <w:gridCol w:w="1317"/>
        <w:gridCol w:w="1625"/>
        <w:gridCol w:w="1548"/>
        <w:gridCol w:w="623"/>
        <w:gridCol w:w="1931"/>
        <w:gridCol w:w="35"/>
      </w:tblGrid>
      <w:tr>
        <w:tblPrEx>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收入支出决算总表</w:t>
            </w:r>
          </w:p>
        </w:tc>
      </w:tr>
      <w:tr>
        <w:tblPrEx>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 公开</w:t>
            </w:r>
            <w:r>
              <w:rPr>
                <w:rFonts w:hint="eastAsia" w:ascii="Times New Roman" w:hAnsi="Times New Roman" w:eastAsia="宋体" w:cs="Times New Roman"/>
                <w:color w:val="000000"/>
                <w:sz w:val="20"/>
                <w:szCs w:val="20"/>
              </w:rPr>
              <w:t>01</w:t>
            </w:r>
            <w:r>
              <w:rPr>
                <w:rFonts w:hint="eastAsia" w:ascii="方正仿宋_GB2312" w:hAnsi="方正仿宋_GB2312" w:eastAsia="方正仿宋_GB2312" w:cs="方正仿宋_GB2312"/>
                <w:color w:val="000000"/>
                <w:sz w:val="20"/>
                <w:szCs w:val="20"/>
              </w:rPr>
              <w:t>表</w:t>
            </w:r>
          </w:p>
        </w:tc>
      </w:tr>
      <w:tr>
        <w:tblPrEx>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编制部门：</w:t>
            </w:r>
            <w:r>
              <w:rPr>
                <w:rFonts w:hint="eastAsia" w:ascii="宋体" w:hAnsi="宋体" w:eastAsia="宋体"/>
                <w:color w:val="000000"/>
                <w:sz w:val="20"/>
                <w:szCs w:val="20"/>
              </w:rPr>
              <w:t>唐山市</w:t>
            </w:r>
            <w:r>
              <w:rPr>
                <w:rFonts w:hint="eastAsia" w:ascii="___WRD_EMBED_SUB_47" w:hAnsi="___WRD_EMBED_SUB_47" w:eastAsia="___WRD_EMBED_SUB_47" w:cs="___WRD_EMBED_SUB_47"/>
                <w:color w:val="000000"/>
                <w:sz w:val="20"/>
                <w:szCs w:val="20"/>
              </w:rPr>
              <w:t>“一</w:t>
            </w:r>
            <w:r>
              <w:rPr>
                <w:rFonts w:hint="eastAsia" w:ascii="宋体" w:hAnsi="宋体" w:eastAsia="宋体"/>
                <w:color w:val="000000"/>
                <w:sz w:val="20"/>
                <w:szCs w:val="20"/>
              </w:rPr>
              <w:t>港双</w:t>
            </w:r>
            <w:r>
              <w:rPr>
                <w:rFonts w:hint="eastAsia" w:ascii="___WRD_EMBED_SUB_47" w:hAnsi="___WRD_EMBED_SUB_47" w:eastAsia="___WRD_EMBED_SUB_47" w:cs="___WRD_EMBED_SUB_47"/>
                <w:color w:val="000000"/>
                <w:sz w:val="20"/>
                <w:szCs w:val="20"/>
              </w:rPr>
              <w:t>城”（城</w:t>
            </w:r>
            <w:r>
              <w:rPr>
                <w:rFonts w:hint="eastAsia" w:ascii="宋体" w:hAnsi="宋体" w:eastAsia="宋体"/>
                <w:color w:val="000000"/>
                <w:sz w:val="20"/>
                <w:szCs w:val="20"/>
              </w:rPr>
              <w:t>镇</w:t>
            </w:r>
            <w:r>
              <w:rPr>
                <w:rFonts w:hint="eastAsia" w:ascii="___WRD_EMBED_SUB_47" w:hAnsi="___WRD_EMBED_SUB_47" w:eastAsia="___WRD_EMBED_SUB_47" w:cs="___WRD_EMBED_SUB_47"/>
                <w:color w:val="000000"/>
                <w:sz w:val="20"/>
                <w:szCs w:val="20"/>
              </w:rPr>
              <w:t>化）工</w:t>
            </w:r>
            <w:r>
              <w:rPr>
                <w:rFonts w:hint="eastAsia" w:ascii="宋体" w:hAnsi="宋体" w:eastAsia="宋体"/>
                <w:color w:val="000000"/>
                <w:sz w:val="20"/>
                <w:szCs w:val="20"/>
              </w:rPr>
              <w:t>作</w:t>
            </w:r>
            <w:r>
              <w:rPr>
                <w:rFonts w:hint="eastAsia" w:ascii="___WRD_EMBED_SUB_47" w:hAnsi="___WRD_EMBED_SUB_47" w:eastAsia="___WRD_EMBED_SUB_47" w:cs="___WRD_EMBED_SUB_47"/>
                <w:color w:val="000000"/>
                <w:sz w:val="20"/>
                <w:szCs w:val="20"/>
              </w:rPr>
              <w:t>委员会办公</w:t>
            </w:r>
            <w:r>
              <w:rPr>
                <w:rFonts w:hint="eastAsia" w:ascii="宋体" w:hAnsi="宋体" w:eastAsia="宋体"/>
                <w:color w:val="000000"/>
                <w:sz w:val="20"/>
                <w:szCs w:val="20"/>
              </w:rPr>
              <w:t>室</w:t>
            </w:r>
          </w:p>
        </w:tc>
        <w:tc>
          <w:tcPr>
            <w:tcW w:w="1262" w:type="pct"/>
            <w:gridSpan w:val="2"/>
            <w:tcBorders>
              <w:top w:val="nil"/>
              <w:left w:val="nil"/>
              <w:bottom w:val="single" w:color="auto" w:sz="4" w:space="0"/>
              <w:right w:val="nil"/>
            </w:tcBorders>
            <w:noWrap/>
            <w:vAlign w:val="bottom"/>
          </w:tcPr>
          <w:p>
            <w:pPr>
              <w:jc w:val="center"/>
              <w:rPr>
                <w:rFonts w:ascii="宋体" w:hAnsi="宋体" w:eastAsia="宋体"/>
                <w:color w:val="000000"/>
                <w:sz w:val="20"/>
                <w:szCs w:val="20"/>
              </w:rPr>
            </w:pPr>
            <w:r>
              <w:rPr>
                <w:rFonts w:hint="eastAsia" w:ascii="Times New Roman" w:hAnsi="Times New Roman" w:eastAsia="宋体"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757" w:type="pct"/>
            <w:gridSpan w:val="3"/>
            <w:tcBorders>
              <w:top w:val="nil"/>
              <w:left w:val="nil"/>
              <w:bottom w:val="single" w:color="auto" w:sz="4" w:space="0"/>
              <w:right w:val="nil"/>
            </w:tcBorders>
            <w:noWrap/>
            <w:vAlign w:val="bottom"/>
          </w:tcPr>
          <w:p>
            <w:pPr>
              <w:jc w:val="right"/>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tblPrEx>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收入</w:t>
            </w:r>
          </w:p>
        </w:tc>
        <w:tc>
          <w:tcPr>
            <w:tcW w:w="2456" w:type="pct"/>
            <w:gridSpan w:val="4"/>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支出</w:t>
            </w:r>
          </w:p>
        </w:tc>
      </w:tr>
      <w:tr>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826"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826"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67" w:type="pct"/>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826"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1</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67" w:type="pct"/>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826"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2</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宋体" w:hAnsi="宋体" w:eastAsia="宋体"/>
                <w:color w:val="000000"/>
                <w:sz w:val="20"/>
                <w:szCs w:val="20"/>
              </w:rPr>
              <w:t>1</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1,003.49</w:t>
            </w: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四、上级补助收入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五、事业收入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0.68</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六、经营收入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七、附属单位上缴收入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八、其他收入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61.48</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49.21</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847.95</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826" w:type="pct"/>
            <w:gridSpan w:val="2"/>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auto"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67"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826"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44.17</w:t>
            </w: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826" w:type="pct"/>
            <w:gridSpan w:val="2"/>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826"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1,003.49</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1,003.49</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使用非财政拨款结余（含专用结余）</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结余分配</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1,003.49</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1,003.49</w:t>
            </w:r>
          </w:p>
        </w:tc>
      </w:tr>
      <w:tr>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注：1.本表反映部门本年度的总收支和年末结转结余情况。2.本套报表金额转换时可能存在尾数误差。</w:t>
            </w:r>
          </w:p>
        </w:tc>
      </w:tr>
    </w:tbl>
    <w:p>
      <w:pPr>
        <w:rPr>
          <w:rFonts w:ascii="仿宋_GB2312" w:hAnsi="宋体" w:eastAsia="仿宋_GB2312"/>
          <w:b/>
          <w:sz w:val="32"/>
          <w:szCs w:val="32"/>
        </w:rPr>
      </w:pPr>
      <w:r>
        <w:rPr>
          <w:rFonts w:hint="eastAsia" w:ascii="仿宋_GB2312" w:hAnsi="宋体" w:eastAsia="仿宋_GB2312"/>
          <w:b/>
          <w:sz w:val="32"/>
          <w:szCs w:val="32"/>
        </w:rPr>
        <w:br w:type="page"/>
      </w:r>
    </w:p>
    <w:p>
      <w:pPr>
        <w:widowControl/>
        <w:jc w:val="center"/>
        <w:textAlignment w:val="bottom"/>
        <w:rPr>
          <w:rFonts w:ascii="黑体" w:hAnsi="黑体" w:eastAsia="黑体"/>
          <w:bCs/>
          <w:sz w:val="32"/>
          <w:szCs w:val="32"/>
        </w:rPr>
      </w:pPr>
    </w:p>
    <w:tbl>
      <w:tblPr>
        <w:tblStyle w:val="12"/>
        <w:tblW w:w="9230" w:type="dxa"/>
        <w:jc w:val="center"/>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收入决算表</w:t>
            </w:r>
          </w:p>
        </w:tc>
      </w:tr>
      <w:tr>
        <w:tblPrEx>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hint="eastAsia" w:ascii="Times New Roman" w:hAnsi="Times New Roman" w:eastAsia="宋体" w:cs="Times New Roman"/>
                <w:color w:val="000000"/>
                <w:sz w:val="20"/>
                <w:szCs w:val="20"/>
              </w:rPr>
              <w:t>02</w:t>
            </w:r>
            <w:r>
              <w:rPr>
                <w:rFonts w:hint="eastAsia" w:ascii="方正仿宋_GB2312" w:hAnsi="方正仿宋_GB2312" w:eastAsia="方正仿宋_GB2312" w:cs="方正仿宋_GB2312"/>
                <w:color w:val="000000"/>
                <w:sz w:val="20"/>
                <w:szCs w:val="20"/>
              </w:rPr>
              <w:t>表</w:t>
            </w:r>
          </w:p>
        </w:tc>
      </w:tr>
      <w:tr>
        <w:tblPrEx>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编制部门：</w:t>
            </w:r>
            <w:r>
              <w:rPr>
                <w:rFonts w:hint="eastAsia" w:ascii="宋体" w:hAnsi="宋体" w:eastAsia="宋体"/>
                <w:color w:val="000000"/>
                <w:sz w:val="20"/>
                <w:szCs w:val="20"/>
              </w:rPr>
              <w:t>唐山市</w:t>
            </w:r>
            <w:r>
              <w:rPr>
                <w:rFonts w:hint="eastAsia" w:ascii="___WRD_EMBED_SUB_47" w:hAnsi="___WRD_EMBED_SUB_47" w:eastAsia="___WRD_EMBED_SUB_47" w:cs="___WRD_EMBED_SUB_47"/>
                <w:color w:val="000000"/>
                <w:sz w:val="20"/>
                <w:szCs w:val="20"/>
              </w:rPr>
              <w:t>“一</w:t>
            </w:r>
            <w:r>
              <w:rPr>
                <w:rFonts w:hint="eastAsia" w:ascii="宋体" w:hAnsi="宋体" w:eastAsia="宋体"/>
                <w:color w:val="000000"/>
                <w:sz w:val="20"/>
                <w:szCs w:val="20"/>
              </w:rPr>
              <w:t>港双</w:t>
            </w:r>
            <w:r>
              <w:rPr>
                <w:rFonts w:hint="eastAsia" w:ascii="___WRD_EMBED_SUB_47" w:hAnsi="___WRD_EMBED_SUB_47" w:eastAsia="___WRD_EMBED_SUB_47" w:cs="___WRD_EMBED_SUB_47"/>
                <w:color w:val="000000"/>
                <w:sz w:val="20"/>
                <w:szCs w:val="20"/>
              </w:rPr>
              <w:t>城”（城</w:t>
            </w:r>
            <w:r>
              <w:rPr>
                <w:rFonts w:hint="eastAsia" w:ascii="宋体" w:hAnsi="宋体" w:eastAsia="宋体"/>
                <w:color w:val="000000"/>
                <w:sz w:val="20"/>
                <w:szCs w:val="20"/>
              </w:rPr>
              <w:t>镇</w:t>
            </w:r>
            <w:r>
              <w:rPr>
                <w:rFonts w:hint="eastAsia" w:ascii="___WRD_EMBED_SUB_47" w:hAnsi="___WRD_EMBED_SUB_47" w:eastAsia="___WRD_EMBED_SUB_47" w:cs="___WRD_EMBED_SUB_47"/>
                <w:color w:val="000000"/>
                <w:sz w:val="20"/>
                <w:szCs w:val="20"/>
              </w:rPr>
              <w:t>化）工</w:t>
            </w:r>
            <w:r>
              <w:rPr>
                <w:rFonts w:hint="eastAsia" w:ascii="宋体" w:hAnsi="宋体" w:eastAsia="宋体"/>
                <w:color w:val="000000"/>
                <w:sz w:val="20"/>
                <w:szCs w:val="20"/>
              </w:rPr>
              <w:t>作</w:t>
            </w:r>
            <w:r>
              <w:rPr>
                <w:rFonts w:hint="eastAsia" w:ascii="___WRD_EMBED_SUB_47" w:hAnsi="___WRD_EMBED_SUB_47" w:eastAsia="___WRD_EMBED_SUB_47" w:cs="___WRD_EMBED_SUB_47"/>
                <w:color w:val="000000"/>
                <w:sz w:val="20"/>
                <w:szCs w:val="20"/>
              </w:rPr>
              <w:t>委员会办公</w:t>
            </w:r>
            <w:r>
              <w:rPr>
                <w:rFonts w:hint="eastAsia" w:ascii="宋体" w:hAnsi="宋体" w:eastAsia="宋体"/>
                <w:color w:val="000000"/>
                <w:sz w:val="20"/>
                <w:szCs w:val="20"/>
              </w:rPr>
              <w:t>室</w:t>
            </w:r>
            <w:r>
              <w:rPr>
                <w:rFonts w:hint="eastAsia" w:ascii="方正仿宋_GB2312" w:hAnsi="方正仿宋_GB2312" w:eastAsia="方正仿宋_GB2312" w:cs="方正仿宋_GB2312"/>
                <w:color w:val="000000"/>
                <w:sz w:val="20"/>
                <w:szCs w:val="20"/>
              </w:rPr>
              <w:t xml:space="preserve">                                                                                                         </w:t>
            </w:r>
          </w:p>
        </w:tc>
        <w:tc>
          <w:tcPr>
            <w:tcW w:w="3405" w:type="dxa"/>
            <w:gridSpan w:val="4"/>
            <w:tcBorders>
              <w:top w:val="nil"/>
              <w:left w:val="nil"/>
              <w:bottom w:val="single" w:color="auto" w:sz="4" w:space="0"/>
              <w:right w:val="nil"/>
            </w:tcBorders>
            <w:noWrap/>
            <w:vAlign w:val="bottom"/>
          </w:tcPr>
          <w:p>
            <w:pPr>
              <w:jc w:val="center"/>
              <w:rPr>
                <w:rFonts w:ascii="方正仿宋_GB2312" w:hAnsi="方正仿宋_GB2312" w:eastAsia="方正仿宋_GB2312" w:cs="方正仿宋_GB2312"/>
                <w:color w:val="000000"/>
                <w:sz w:val="20"/>
                <w:szCs w:val="20"/>
              </w:rPr>
            </w:pPr>
            <w:r>
              <w:rPr>
                <w:rFonts w:ascii="Times New Roman" w:hAnsi="Times New Roman" w:eastAsia="方正仿宋_GB2312"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2588" w:type="dxa"/>
            <w:gridSpan w:val="3"/>
            <w:tcBorders>
              <w:top w:val="nil"/>
              <w:left w:val="nil"/>
              <w:bottom w:val="single" w:color="auto" w:sz="4" w:space="0"/>
              <w:right w:val="nil"/>
            </w:tcBorders>
            <w:noWrap/>
            <w:vAlign w:val="bottom"/>
          </w:tcPr>
          <w:p>
            <w:pPr>
              <w:jc w:val="righ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tblPrEx>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1037" w:type="dxa"/>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本年收入合计</w:t>
            </w:r>
          </w:p>
        </w:tc>
        <w:tc>
          <w:tcPr>
            <w:tcW w:w="1037" w:type="dxa"/>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财政拨款收入</w:t>
            </w:r>
          </w:p>
        </w:tc>
        <w:tc>
          <w:tcPr>
            <w:tcW w:w="1037" w:type="dxa"/>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上级补助收入</w:t>
            </w:r>
          </w:p>
        </w:tc>
        <w:tc>
          <w:tcPr>
            <w:tcW w:w="964" w:type="dxa"/>
            <w:vMerge w:val="restart"/>
            <w:tcBorders>
              <w:top w:val="single" w:color="auto" w:sz="4" w:space="0"/>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事业收入</w:t>
            </w:r>
          </w:p>
        </w:tc>
        <w:tc>
          <w:tcPr>
            <w:tcW w:w="964" w:type="dxa"/>
            <w:gridSpan w:val="2"/>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经营收入</w:t>
            </w:r>
          </w:p>
        </w:tc>
        <w:tc>
          <w:tcPr>
            <w:tcW w:w="1027" w:type="dxa"/>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附属单位上缴收入</w:t>
            </w:r>
          </w:p>
        </w:tc>
        <w:tc>
          <w:tcPr>
            <w:tcW w:w="964" w:type="dxa"/>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其他收入</w:t>
            </w:r>
          </w:p>
        </w:tc>
      </w:tr>
      <w:tr>
        <w:tblPrEx>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160" w:type="dxa"/>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03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964" w:type="dxa"/>
            <w:vMerge w:val="continue"/>
            <w:tcBorders>
              <w:left w:val="nil"/>
              <w:right w:val="single" w:color="000000" w:sz="4" w:space="0"/>
            </w:tcBorders>
            <w:noWrap/>
            <w:vAlign w:val="center"/>
          </w:tcPr>
          <w:p>
            <w:pPr>
              <w:widowControl/>
              <w:jc w:val="center"/>
              <w:textAlignment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964" w:type="dxa"/>
            <w:vMerge w:val="continue"/>
            <w:tcBorders>
              <w:left w:val="nil"/>
              <w:right w:val="single" w:color="000000" w:sz="4" w:space="0"/>
            </w:tcBorders>
            <w:noWrap/>
            <w:vAlign w:val="center"/>
          </w:tcPr>
          <w:p>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964" w:type="dxa"/>
            <w:vMerge w:val="continue"/>
            <w:tcBorders>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037" w:type="dxa"/>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037" w:type="dxa"/>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037" w:type="dxa"/>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964" w:type="dxa"/>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964" w:type="dxa"/>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c>
          <w:tcPr>
            <w:tcW w:w="1027" w:type="dxa"/>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6</w:t>
            </w:r>
          </w:p>
        </w:tc>
        <w:tc>
          <w:tcPr>
            <w:tcW w:w="964" w:type="dxa"/>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7</w:t>
            </w:r>
          </w:p>
        </w:tc>
      </w:tr>
      <w:tr>
        <w:tblPrEx>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1,003.49</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1,003.49</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205</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教育支出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0.68</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0.68</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20508</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进修及培训</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0.68</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0.68</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2050803</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培训支出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0.68</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0.68</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61.48</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61.48</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61.48</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61.48</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2080505</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61.48</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61.48</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卫生健康支出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49.21</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49.21</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49.06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49.06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行政单位医疗</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16.02</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16.02</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2101102</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事业单位医疗</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7.77</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7.77</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2101103</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公务员医疗补助</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25.27</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25.27</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21099</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其他卫生健康支出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0.15</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0.15</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2109999</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其他卫生健康支出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0.15</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0.15</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212</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城乡社区支出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847.95</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847.95</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21201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城乡社区管理事务</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847.95</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847.95</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2120101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行政运行</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751.54</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751.54</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2120199</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其他城乡社区管理事务支出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96.41</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96.41</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住房保障支出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44.17</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44.17</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住房改革支出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44.17</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44.17</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住房公积金</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44.17</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44.17</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注：本表反映部门本年度取得的各项收入情况。</w:t>
            </w:r>
          </w:p>
        </w:tc>
      </w:tr>
    </w:tbl>
    <w:p>
      <w:pPr>
        <w:rPr>
          <w:rFonts w:ascii="黑体" w:hAnsi="黑体" w:eastAsia="黑体"/>
          <w:bCs/>
          <w:sz w:val="32"/>
          <w:szCs w:val="32"/>
        </w:rPr>
      </w:pPr>
      <w:r>
        <w:rPr>
          <w:rFonts w:hint="eastAsia" w:ascii="仿宋_GB2312" w:hAnsi="宋体" w:eastAsia="仿宋_GB2312"/>
          <w:b/>
          <w:sz w:val="32"/>
          <w:szCs w:val="32"/>
        </w:rPr>
        <w:br w:type="page"/>
      </w:r>
    </w:p>
    <w:p>
      <w:pPr>
        <w:widowControl/>
        <w:jc w:val="center"/>
        <w:textAlignment w:val="bottom"/>
        <w:rPr>
          <w:rFonts w:ascii="宋体" w:hAnsi="宋体" w:eastAsia="宋体"/>
          <w:spacing w:val="-2"/>
          <w:sz w:val="20"/>
        </w:rPr>
      </w:pPr>
    </w:p>
    <w:tbl>
      <w:tblPr>
        <w:tblStyle w:val="12"/>
        <w:tblW w:w="5812" w:type="pct"/>
        <w:jc w:val="center"/>
        <w:tblLayout w:type="fixed"/>
        <w:tblCellMar>
          <w:top w:w="0" w:type="dxa"/>
          <w:left w:w="108" w:type="dxa"/>
          <w:bottom w:w="0" w:type="dxa"/>
          <w:right w:w="108" w:type="dxa"/>
        </w:tblCellMar>
      </w:tblPr>
      <w:tblGrid>
        <w:gridCol w:w="1040"/>
        <w:gridCol w:w="1187"/>
        <w:gridCol w:w="1127"/>
        <w:gridCol w:w="127"/>
        <w:gridCol w:w="998"/>
        <w:gridCol w:w="1125"/>
        <w:gridCol w:w="499"/>
        <w:gridCol w:w="626"/>
        <w:gridCol w:w="1125"/>
        <w:gridCol w:w="1492"/>
      </w:tblGrid>
      <w:tr>
        <w:tblPrEx>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pPr>
              <w:jc w:val="center"/>
              <w:outlineLvl w:val="1"/>
              <w:rPr>
                <w:rFonts w:ascii="宋体" w:hAnsi="宋体" w:eastAsia="宋体"/>
                <w:color w:val="000000"/>
                <w:sz w:val="20"/>
                <w:szCs w:val="20"/>
              </w:rPr>
            </w:pPr>
            <w:r>
              <w:rPr>
                <w:rFonts w:hint="eastAsia" w:ascii="方正仿宋_GB2312" w:hAnsi="方正仿宋_GB2312" w:eastAsia="方正仿宋_GB2312" w:cs="方正仿宋_GB2312"/>
                <w:bCs/>
                <w:sz w:val="32"/>
                <w:szCs w:val="32"/>
              </w:rPr>
              <w:br w:type="page"/>
            </w:r>
            <w:r>
              <w:rPr>
                <w:rFonts w:hint="eastAsia" w:ascii="方正仿宋_GB2312" w:hAnsi="方正仿宋_GB2312" w:eastAsia="方正仿宋_GB2312" w:cs="方正仿宋_GB2312"/>
                <w:bCs/>
                <w:sz w:val="32"/>
                <w:szCs w:val="32"/>
              </w:rPr>
              <w:t>支出决算表</w:t>
            </w:r>
          </w:p>
        </w:tc>
      </w:tr>
      <w:tr>
        <w:tblPrEx>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03</w:t>
            </w:r>
            <w:r>
              <w:rPr>
                <w:rFonts w:hint="eastAsia" w:ascii="方正仿宋_GB2312" w:hAnsi="方正仿宋_GB2312" w:eastAsia="方正仿宋_GB2312" w:cs="方正仿宋_GB2312"/>
                <w:color w:val="000000"/>
                <w:sz w:val="20"/>
                <w:szCs w:val="20"/>
              </w:rPr>
              <w:t>表</w:t>
            </w:r>
          </w:p>
        </w:tc>
      </w:tr>
      <w:tr>
        <w:tblPrEx>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编制部门：</w:t>
            </w:r>
            <w:r>
              <w:rPr>
                <w:rFonts w:hint="eastAsia" w:ascii="宋体" w:hAnsi="宋体" w:eastAsia="宋体"/>
                <w:color w:val="000000"/>
                <w:sz w:val="20"/>
                <w:szCs w:val="20"/>
              </w:rPr>
              <w:t>唐山市</w:t>
            </w:r>
            <w:r>
              <w:rPr>
                <w:rFonts w:hint="eastAsia" w:ascii="___WRD_EMBED_SUB_47" w:hAnsi="___WRD_EMBED_SUB_47" w:eastAsia="___WRD_EMBED_SUB_47" w:cs="___WRD_EMBED_SUB_47"/>
                <w:color w:val="000000"/>
                <w:sz w:val="20"/>
                <w:szCs w:val="20"/>
              </w:rPr>
              <w:t>“一</w:t>
            </w:r>
            <w:r>
              <w:rPr>
                <w:rFonts w:hint="eastAsia" w:ascii="宋体" w:hAnsi="宋体" w:eastAsia="宋体"/>
                <w:color w:val="000000"/>
                <w:sz w:val="20"/>
                <w:szCs w:val="20"/>
              </w:rPr>
              <w:t>港双</w:t>
            </w:r>
            <w:r>
              <w:rPr>
                <w:rFonts w:hint="eastAsia" w:ascii="___WRD_EMBED_SUB_47" w:hAnsi="___WRD_EMBED_SUB_47" w:eastAsia="___WRD_EMBED_SUB_47" w:cs="___WRD_EMBED_SUB_47"/>
                <w:color w:val="000000"/>
                <w:sz w:val="20"/>
                <w:szCs w:val="20"/>
              </w:rPr>
              <w:t>城”（城</w:t>
            </w:r>
            <w:r>
              <w:rPr>
                <w:rFonts w:hint="eastAsia" w:ascii="宋体" w:hAnsi="宋体" w:eastAsia="宋体"/>
                <w:color w:val="000000"/>
                <w:sz w:val="20"/>
                <w:szCs w:val="20"/>
              </w:rPr>
              <w:t>镇</w:t>
            </w:r>
            <w:r>
              <w:rPr>
                <w:rFonts w:hint="eastAsia" w:ascii="___WRD_EMBED_SUB_47" w:hAnsi="___WRD_EMBED_SUB_47" w:eastAsia="___WRD_EMBED_SUB_47" w:cs="___WRD_EMBED_SUB_47"/>
                <w:color w:val="000000"/>
                <w:sz w:val="20"/>
                <w:szCs w:val="20"/>
              </w:rPr>
              <w:t>化）工</w:t>
            </w:r>
            <w:r>
              <w:rPr>
                <w:rFonts w:hint="eastAsia" w:ascii="宋体" w:hAnsi="宋体" w:eastAsia="宋体"/>
                <w:color w:val="000000"/>
                <w:sz w:val="20"/>
                <w:szCs w:val="20"/>
              </w:rPr>
              <w:t>作</w:t>
            </w:r>
            <w:r>
              <w:rPr>
                <w:rFonts w:hint="eastAsia" w:ascii="___WRD_EMBED_SUB_47" w:hAnsi="___WRD_EMBED_SUB_47" w:eastAsia="___WRD_EMBED_SUB_47" w:cs="___WRD_EMBED_SUB_47"/>
                <w:color w:val="000000"/>
                <w:sz w:val="20"/>
                <w:szCs w:val="20"/>
              </w:rPr>
              <w:t>委员会办公</w:t>
            </w:r>
            <w:r>
              <w:rPr>
                <w:rFonts w:hint="eastAsia" w:ascii="宋体" w:hAnsi="宋体" w:eastAsia="宋体"/>
                <w:color w:val="000000"/>
                <w:sz w:val="20"/>
                <w:szCs w:val="20"/>
              </w:rPr>
              <w:t>室</w:t>
            </w:r>
            <w:r>
              <w:rPr>
                <w:rFonts w:hint="eastAsia" w:ascii="方正仿宋_GB2312" w:hAnsi="方正仿宋_GB2312" w:eastAsia="方正仿宋_GB2312" w:cs="方正仿宋_GB2312"/>
                <w:color w:val="000000"/>
                <w:sz w:val="20"/>
                <w:szCs w:val="20"/>
              </w:rPr>
              <w:t xml:space="preserve"> </w:t>
            </w:r>
          </w:p>
        </w:tc>
        <w:tc>
          <w:tcPr>
            <w:tcW w:w="1403" w:type="pct"/>
            <w:gridSpan w:val="3"/>
            <w:tcBorders>
              <w:top w:val="nil"/>
              <w:left w:val="nil"/>
              <w:bottom w:val="single" w:color="auto" w:sz="4" w:space="0"/>
              <w:right w:val="nil"/>
            </w:tcBorders>
            <w:noWrap/>
            <w:vAlign w:val="bottom"/>
          </w:tcPr>
          <w:p>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734" w:type="pct"/>
            <w:gridSpan w:val="3"/>
            <w:tcBorders>
              <w:top w:val="nil"/>
              <w:left w:val="nil"/>
              <w:bottom w:val="single" w:color="auto" w:sz="4" w:space="0"/>
              <w:right w:val="nil"/>
            </w:tcBorders>
            <w:noWrap/>
            <w:vAlign w:val="bottom"/>
          </w:tcPr>
          <w:p>
            <w:pPr>
              <w:widowControl/>
              <w:jc w:val="right"/>
              <w:textAlignment w:val="bottom"/>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 xml:space="preserve"> 金额单位：万元</w:t>
            </w:r>
          </w:p>
        </w:tc>
      </w:tr>
      <w:tr>
        <w:tblPrEx>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03" w:type="pct"/>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602" w:type="pct"/>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602" w:type="pct"/>
            <w:gridSpan w:val="2"/>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上缴上级支出</w:t>
            </w:r>
          </w:p>
        </w:tc>
        <w:tc>
          <w:tcPr>
            <w:tcW w:w="602" w:type="pct"/>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经营支出</w:t>
            </w:r>
          </w:p>
        </w:tc>
        <w:tc>
          <w:tcPr>
            <w:tcW w:w="795" w:type="pct"/>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对附属单位补助支出</w:t>
            </w:r>
          </w:p>
        </w:tc>
      </w:tr>
      <w:tr>
        <w:tblPrEx>
          <w:tblCellMar>
            <w:top w:w="0" w:type="dxa"/>
            <w:left w:w="108" w:type="dxa"/>
            <w:bottom w:w="0" w:type="dxa"/>
            <w:right w:w="108" w:type="dxa"/>
          </w:tblCellMar>
        </w:tblPrEx>
        <w:trPr>
          <w:trHeight w:val="312" w:hRule="atLeast"/>
          <w:jc w:val="center"/>
        </w:trPr>
        <w:tc>
          <w:tcPr>
            <w:tcW w:w="556" w:type="pct"/>
            <w:vMerge w:val="restar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635"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03"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03"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602"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602"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602"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602"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795"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r>
      <w:tr>
        <w:tblPrEx>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1,003.49</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640.19</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363.30</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205</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教育支出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0.68</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0.68</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20508</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进修及培训</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0.68</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0.68</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2050803</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培训支出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0.68</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0.68</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61.48</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61.48</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61.48</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61.48</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61.48</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61.48</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49.21</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49.21</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49.06</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49.06</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16.02</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16.02</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2101102</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事业单位医疗</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7.77</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7.77</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2101103</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公务员医疗补助</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25.27</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25.27</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21099</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其他卫生健康支出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0.15</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0.15</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2109999</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其他卫生健康支出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0.15</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0.15</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城乡社区支出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847.95</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484.65</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363.30</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城乡社区管理事务</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847.95</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484.65</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363.30</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2120101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751.54</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388.24</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363.30</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2120199</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其他城乡社区管理事务支出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96.41</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96.41</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44.17</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44.17</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44.17</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44.17</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44.17</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44.17</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注：本表反映部门本年度各项支出情况。</w:t>
            </w:r>
          </w:p>
        </w:tc>
      </w:tr>
    </w:tbl>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2"/>
        <w:tblW w:w="7281" w:type="pct"/>
        <w:tblInd w:w="-1857" w:type="dxa"/>
        <w:tblLayout w:type="fixed"/>
        <w:tblCellMar>
          <w:top w:w="0" w:type="dxa"/>
          <w:left w:w="108" w:type="dxa"/>
          <w:bottom w:w="0" w:type="dxa"/>
          <w:right w:w="108" w:type="dxa"/>
        </w:tblCellMar>
      </w:tblPr>
      <w:tblGrid>
        <w:gridCol w:w="1982"/>
        <w:gridCol w:w="623"/>
        <w:gridCol w:w="1428"/>
        <w:gridCol w:w="1658"/>
        <w:gridCol w:w="438"/>
        <w:gridCol w:w="623"/>
        <w:gridCol w:w="459"/>
        <w:gridCol w:w="834"/>
        <w:gridCol w:w="1218"/>
        <w:gridCol w:w="1218"/>
        <w:gridCol w:w="1227"/>
      </w:tblGrid>
      <w:tr>
        <w:tblPrEx>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财政拨款收入支出决算总表</w:t>
            </w:r>
          </w:p>
        </w:tc>
      </w:tr>
      <w:tr>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公开04表</w:t>
            </w:r>
          </w:p>
        </w:tc>
      </w:tr>
      <w:tr>
        <w:tblPrEx>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pPr>
              <w:rPr>
                <w:rFonts w:ascii="仿宋" w:hAnsi="仿宋" w:eastAsia="仿宋" w:cs="仿宋"/>
                <w:color w:val="000000"/>
                <w:sz w:val="20"/>
                <w:szCs w:val="20"/>
              </w:rPr>
            </w:pPr>
            <w:r>
              <w:rPr>
                <w:rFonts w:hint="eastAsia" w:ascii="方正仿宋_GB2312" w:hAnsi="方正仿宋_GB2312" w:eastAsia="方正仿宋_GB2312" w:cs="方正仿宋_GB2312"/>
                <w:color w:val="000000"/>
                <w:sz w:val="20"/>
                <w:szCs w:val="20"/>
              </w:rPr>
              <w:t>编制部门：</w:t>
            </w:r>
            <w:r>
              <w:rPr>
                <w:rFonts w:hint="eastAsia" w:ascii="宋体" w:hAnsi="宋体" w:eastAsia="宋体"/>
                <w:color w:val="000000"/>
                <w:sz w:val="20"/>
                <w:szCs w:val="20"/>
              </w:rPr>
              <w:t>唐山市</w:t>
            </w:r>
            <w:r>
              <w:rPr>
                <w:rFonts w:hint="eastAsia" w:ascii="___WRD_EMBED_SUB_47" w:hAnsi="___WRD_EMBED_SUB_47" w:eastAsia="___WRD_EMBED_SUB_47" w:cs="___WRD_EMBED_SUB_47"/>
                <w:color w:val="000000"/>
                <w:sz w:val="20"/>
                <w:szCs w:val="20"/>
              </w:rPr>
              <w:t>“一</w:t>
            </w:r>
            <w:r>
              <w:rPr>
                <w:rFonts w:hint="eastAsia" w:ascii="宋体" w:hAnsi="宋体" w:eastAsia="宋体"/>
                <w:color w:val="000000"/>
                <w:sz w:val="20"/>
                <w:szCs w:val="20"/>
              </w:rPr>
              <w:t>港双</w:t>
            </w:r>
            <w:r>
              <w:rPr>
                <w:rFonts w:hint="eastAsia" w:ascii="___WRD_EMBED_SUB_47" w:hAnsi="___WRD_EMBED_SUB_47" w:eastAsia="___WRD_EMBED_SUB_47" w:cs="___WRD_EMBED_SUB_47"/>
                <w:color w:val="000000"/>
                <w:sz w:val="20"/>
                <w:szCs w:val="20"/>
              </w:rPr>
              <w:t>城”（城</w:t>
            </w:r>
            <w:r>
              <w:rPr>
                <w:rFonts w:hint="eastAsia" w:ascii="宋体" w:hAnsi="宋体" w:eastAsia="宋体"/>
                <w:color w:val="000000"/>
                <w:sz w:val="20"/>
                <w:szCs w:val="20"/>
              </w:rPr>
              <w:t>镇</w:t>
            </w:r>
            <w:r>
              <w:rPr>
                <w:rFonts w:hint="eastAsia" w:ascii="___WRD_EMBED_SUB_47" w:hAnsi="___WRD_EMBED_SUB_47" w:eastAsia="___WRD_EMBED_SUB_47" w:cs="___WRD_EMBED_SUB_47"/>
                <w:color w:val="000000"/>
                <w:sz w:val="20"/>
                <w:szCs w:val="20"/>
              </w:rPr>
              <w:t>化）工</w:t>
            </w:r>
            <w:r>
              <w:rPr>
                <w:rFonts w:hint="eastAsia" w:ascii="宋体" w:hAnsi="宋体" w:eastAsia="宋体"/>
                <w:color w:val="000000"/>
                <w:sz w:val="20"/>
                <w:szCs w:val="20"/>
              </w:rPr>
              <w:t>作</w:t>
            </w:r>
            <w:r>
              <w:rPr>
                <w:rFonts w:hint="eastAsia" w:ascii="___WRD_EMBED_SUB_47" w:hAnsi="___WRD_EMBED_SUB_47" w:eastAsia="___WRD_EMBED_SUB_47" w:cs="___WRD_EMBED_SUB_47"/>
                <w:color w:val="000000"/>
                <w:sz w:val="20"/>
                <w:szCs w:val="20"/>
              </w:rPr>
              <w:t>委员会办公</w:t>
            </w:r>
            <w:r>
              <w:rPr>
                <w:rFonts w:hint="eastAsia" w:ascii="宋体" w:hAnsi="宋体" w:eastAsia="宋体"/>
                <w:color w:val="000000"/>
                <w:sz w:val="20"/>
                <w:szCs w:val="20"/>
              </w:rPr>
              <w:t>室</w:t>
            </w:r>
            <w:r>
              <w:rPr>
                <w:rFonts w:hint="eastAsia" w:ascii="方正仿宋_GB2312" w:hAnsi="方正仿宋_GB2312" w:eastAsia="方正仿宋_GB2312" w:cs="方正仿宋_GB2312"/>
                <w:color w:val="000000"/>
                <w:sz w:val="20"/>
                <w:szCs w:val="20"/>
              </w:rPr>
              <w:t xml:space="preserve"> </w:t>
            </w:r>
          </w:p>
        </w:tc>
        <w:tc>
          <w:tcPr>
            <w:tcW w:w="649" w:type="pct"/>
            <w:gridSpan w:val="3"/>
            <w:tcBorders>
              <w:top w:val="nil"/>
              <w:left w:val="nil"/>
              <w:bottom w:val="single" w:color="auto" w:sz="4" w:space="0"/>
              <w:right w:val="nil"/>
            </w:tcBorders>
            <w:noWrap/>
            <w:vAlign w:val="bottom"/>
          </w:tcPr>
          <w:p>
            <w:pPr>
              <w:jc w:val="center"/>
              <w:rPr>
                <w:rFonts w:asciiTheme="minorEastAsia" w:hAnsiTheme="minorEastAsia" w:cstheme="minorEastAsia"/>
                <w:color w:val="000000"/>
                <w:sz w:val="20"/>
                <w:szCs w:val="20"/>
              </w:rPr>
            </w:pPr>
            <w:r>
              <w:rPr>
                <w:rFonts w:ascii="Times New Roman" w:hAnsi="Times New Roman"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919" w:type="pct"/>
            <w:gridSpan w:val="4"/>
            <w:tcBorders>
              <w:top w:val="nil"/>
              <w:left w:val="nil"/>
              <w:bottom w:val="single" w:color="auto" w:sz="4" w:space="0"/>
              <w:right w:val="nil"/>
            </w:tcBorders>
            <w:noWrap/>
            <w:vAlign w:val="bottom"/>
          </w:tcPr>
          <w:p>
            <w:pPr>
              <w:jc w:val="right"/>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金额单位：万元</w:t>
            </w:r>
          </w:p>
        </w:tc>
      </w:tr>
      <w:tr>
        <w:tblPrEx>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收入</w:t>
            </w:r>
          </w:p>
        </w:tc>
        <w:tc>
          <w:tcPr>
            <w:tcW w:w="3276" w:type="pct"/>
            <w:gridSpan w:val="8"/>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支出</w:t>
            </w:r>
          </w:p>
        </w:tc>
      </w:tr>
      <w:tr>
        <w:tblPrEx>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    目</w:t>
            </w:r>
          </w:p>
        </w:tc>
        <w:tc>
          <w:tcPr>
            <w:tcW w:w="266"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609"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w:t>
            </w:r>
          </w:p>
        </w:tc>
        <w:tc>
          <w:tcPr>
            <w:tcW w:w="895" w:type="pct"/>
            <w:gridSpan w:val="2"/>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266"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552" w:type="pct"/>
            <w:gridSpan w:val="2"/>
            <w:vMerge w:val="restart"/>
            <w:tcBorders>
              <w:top w:val="nil"/>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520" w:type="pct"/>
            <w:vMerge w:val="restart"/>
            <w:tcBorders>
              <w:top w:val="nil"/>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一般公共预算财政拨款</w:t>
            </w:r>
          </w:p>
        </w:tc>
        <w:tc>
          <w:tcPr>
            <w:tcW w:w="520" w:type="pct"/>
            <w:vMerge w:val="restart"/>
            <w:tcBorders>
              <w:top w:val="nil"/>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政府性基金预算财政拨款</w:t>
            </w:r>
          </w:p>
        </w:tc>
        <w:tc>
          <w:tcPr>
            <w:tcW w:w="520" w:type="pct"/>
            <w:vMerge w:val="restart"/>
            <w:tcBorders>
              <w:top w:val="nil"/>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国有资本经营预算财政拨款</w:t>
            </w:r>
          </w:p>
        </w:tc>
      </w:tr>
      <w:tr>
        <w:tblPrEx>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609"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895" w:type="pct"/>
            <w:gridSpan w:val="2"/>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552" w:type="pct"/>
            <w:gridSpan w:val="2"/>
            <w:vMerge w:val="continue"/>
            <w:tcBorders>
              <w:left w:val="nil"/>
              <w:bottom w:val="single" w:color="000000" w:sz="4" w:space="0"/>
              <w:right w:val="single" w:color="000000" w:sz="8"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266" w:type="pct"/>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9"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895"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266" w:type="pct"/>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552"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520"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520"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520" w:type="pct"/>
            <w:tcBorders>
              <w:top w:val="nil"/>
              <w:left w:val="nil"/>
              <w:bottom w:val="single" w:color="000000" w:sz="4" w:space="0"/>
              <w:right w:val="single" w:color="000000" w:sz="8"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1,003.49</w:t>
            </w: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0.68</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0.68</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61.48</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61.48</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49.21</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49.21</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847.95</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847.95</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609"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auto"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66"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552" w:type="pct"/>
            <w:gridSpan w:val="2"/>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44.17</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44.17</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609"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552" w:type="pct"/>
            <w:gridSpan w:val="2"/>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ascii="宋体" w:hAnsi="宋体" w:eastAsia="宋体"/>
                <w:b/>
                <w:bCs/>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1,003.49</w:t>
            </w:r>
          </w:p>
        </w:tc>
        <w:tc>
          <w:tcPr>
            <w:tcW w:w="895"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1,003.49</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1,003.49</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年初财政拨款结转和结余</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年末财政拨款结转和结余</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lef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lef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lef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6" w:type="pct"/>
            <w:tcBorders>
              <w:top w:val="nil"/>
              <w:left w:val="nil"/>
              <w:bottom w:val="single" w:color="000000" w:sz="8"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609" w:type="pct"/>
            <w:tcBorders>
              <w:top w:val="nil"/>
              <w:left w:val="nil"/>
              <w:bottom w:val="single" w:color="000000" w:sz="8"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1,003.49</w:t>
            </w:r>
          </w:p>
        </w:tc>
        <w:tc>
          <w:tcPr>
            <w:tcW w:w="895" w:type="pct"/>
            <w:gridSpan w:val="2"/>
            <w:tcBorders>
              <w:top w:val="nil"/>
              <w:left w:val="nil"/>
              <w:bottom w:val="single" w:color="000000" w:sz="8"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6" w:type="pct"/>
            <w:tcBorders>
              <w:top w:val="nil"/>
              <w:left w:val="nil"/>
              <w:bottom w:val="single" w:color="000000" w:sz="8"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w:t>
            </w:r>
          </w:p>
        </w:tc>
        <w:tc>
          <w:tcPr>
            <w:tcW w:w="552" w:type="pct"/>
            <w:gridSpan w:val="2"/>
            <w:tcBorders>
              <w:top w:val="nil"/>
              <w:left w:val="nil"/>
              <w:bottom w:val="single" w:color="000000" w:sz="8"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1,003.49</w:t>
            </w:r>
          </w:p>
        </w:tc>
        <w:tc>
          <w:tcPr>
            <w:tcW w:w="520" w:type="pct"/>
            <w:tcBorders>
              <w:top w:val="nil"/>
              <w:left w:val="nil"/>
              <w:bottom w:val="single" w:color="000000" w:sz="8" w:space="0"/>
              <w:right w:val="single" w:color="000000" w:sz="4" w:space="0"/>
            </w:tcBorders>
            <w:noWrap/>
            <w:vAlign w:val="center"/>
          </w:tcPr>
          <w:p>
            <w:pPr>
              <w:jc w:val="right"/>
              <w:rPr>
                <w:rFonts w:ascii="Times New Roman" w:hAnsi="Times New Roman" w:cs="Times New Roman"/>
                <w:sz w:val="20"/>
                <w:szCs w:val="20"/>
              </w:rPr>
            </w:pPr>
          </w:p>
          <w:p>
            <w:pPr>
              <w:jc w:val="right"/>
              <w:rPr>
                <w:rFonts w:ascii="Times New Roman" w:hAnsi="Times New Roman" w:cs="Times New Roman"/>
                <w:sz w:val="20"/>
                <w:szCs w:val="20"/>
              </w:rPr>
            </w:pPr>
            <w:r>
              <w:rPr>
                <w:rFonts w:ascii="Times New Roman" w:hAnsi="Times New Roman" w:cs="Times New Roman"/>
                <w:sz w:val="20"/>
                <w:szCs w:val="20"/>
              </w:rPr>
              <w:t>1,003.49</w:t>
            </w:r>
          </w:p>
          <w:p>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注：本表反映部门本年度一般公共预算财政拨款、政府性基金预算财政拨款和国有资本经营预算财政拨款的总收支和年末结转结余情况。</w:t>
            </w:r>
          </w:p>
        </w:tc>
      </w:tr>
    </w:tbl>
    <w:p>
      <w:pPr>
        <w:rPr>
          <w:rFonts w:ascii="仿宋_GB2312" w:hAnsi="宋体" w:eastAsia="仿宋_GB2312"/>
          <w:b/>
          <w:sz w:val="32"/>
          <w:szCs w:val="32"/>
        </w:rPr>
      </w:pPr>
      <w:r>
        <w:rPr>
          <w:rFonts w:hint="eastAsia" w:ascii="仿宋_GB2312" w:hAnsi="宋体" w:eastAsia="仿宋_GB2312"/>
          <w:b/>
          <w:sz w:val="32"/>
          <w:szCs w:val="32"/>
        </w:rPr>
        <w:br w:type="page"/>
      </w:r>
    </w:p>
    <w:p>
      <w:pPr>
        <w:jc w:val="center"/>
        <w:rPr>
          <w:rFonts w:ascii="宋体" w:hAnsi="宋体" w:eastAsia="宋体"/>
          <w:spacing w:val="-2"/>
          <w:sz w:val="20"/>
        </w:rPr>
      </w:pPr>
    </w:p>
    <w:tbl>
      <w:tblPr>
        <w:tblStyle w:val="12"/>
        <w:tblW w:w="5455" w:type="pct"/>
        <w:tblInd w:w="-657" w:type="dxa"/>
        <w:tblLayout w:type="autofit"/>
        <w:tblCellMar>
          <w:top w:w="0" w:type="dxa"/>
          <w:left w:w="108" w:type="dxa"/>
          <w:bottom w:w="0" w:type="dxa"/>
          <w:right w:w="108" w:type="dxa"/>
        </w:tblCellMar>
      </w:tblPr>
      <w:tblGrid>
        <w:gridCol w:w="2112"/>
        <w:gridCol w:w="3416"/>
        <w:gridCol w:w="1238"/>
        <w:gridCol w:w="522"/>
        <w:gridCol w:w="687"/>
        <w:gridCol w:w="383"/>
        <w:gridCol w:w="1233"/>
      </w:tblGrid>
      <w:tr>
        <w:tblPrEx>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一般公共预算财政拨款支出决算表</w:t>
            </w:r>
          </w:p>
        </w:tc>
      </w:tr>
      <w:tr>
        <w:tblPrEx>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05</w:t>
            </w:r>
            <w:r>
              <w:rPr>
                <w:rFonts w:hint="eastAsia" w:ascii="方正仿宋_GB2312" w:hAnsi="方正仿宋_GB2312" w:eastAsia="方正仿宋_GB2312" w:cs="方正仿宋_GB2312"/>
                <w:color w:val="000000"/>
                <w:sz w:val="20"/>
                <w:szCs w:val="20"/>
              </w:rPr>
              <w:t>表</w:t>
            </w:r>
          </w:p>
        </w:tc>
      </w:tr>
      <w:tr>
        <w:tblPrEx>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编制部门：</w:t>
            </w:r>
            <w:r>
              <w:rPr>
                <w:rFonts w:hint="eastAsia" w:ascii="宋体" w:hAnsi="宋体" w:eastAsia="宋体"/>
                <w:color w:val="000000"/>
                <w:sz w:val="20"/>
                <w:szCs w:val="20"/>
              </w:rPr>
              <w:t>唐山市</w:t>
            </w:r>
            <w:r>
              <w:rPr>
                <w:rFonts w:hint="eastAsia" w:ascii="___WRD_EMBED_SUB_47" w:hAnsi="___WRD_EMBED_SUB_47" w:eastAsia="___WRD_EMBED_SUB_47" w:cs="___WRD_EMBED_SUB_47"/>
                <w:color w:val="000000"/>
                <w:sz w:val="20"/>
                <w:szCs w:val="20"/>
              </w:rPr>
              <w:t>“一</w:t>
            </w:r>
            <w:r>
              <w:rPr>
                <w:rFonts w:hint="eastAsia" w:ascii="宋体" w:hAnsi="宋体" w:eastAsia="宋体"/>
                <w:color w:val="000000"/>
                <w:sz w:val="20"/>
                <w:szCs w:val="20"/>
              </w:rPr>
              <w:t>港双</w:t>
            </w:r>
            <w:r>
              <w:rPr>
                <w:rFonts w:hint="eastAsia" w:ascii="___WRD_EMBED_SUB_47" w:hAnsi="___WRD_EMBED_SUB_47" w:eastAsia="___WRD_EMBED_SUB_47" w:cs="___WRD_EMBED_SUB_47"/>
                <w:color w:val="000000"/>
                <w:sz w:val="20"/>
                <w:szCs w:val="20"/>
              </w:rPr>
              <w:t>城”（城</w:t>
            </w:r>
            <w:r>
              <w:rPr>
                <w:rFonts w:hint="eastAsia" w:ascii="宋体" w:hAnsi="宋体" w:eastAsia="宋体"/>
                <w:color w:val="000000"/>
                <w:sz w:val="20"/>
                <w:szCs w:val="20"/>
              </w:rPr>
              <w:t>镇</w:t>
            </w:r>
            <w:r>
              <w:rPr>
                <w:rFonts w:hint="eastAsia" w:ascii="___WRD_EMBED_SUB_47" w:hAnsi="___WRD_EMBED_SUB_47" w:eastAsia="___WRD_EMBED_SUB_47" w:cs="___WRD_EMBED_SUB_47"/>
                <w:color w:val="000000"/>
                <w:sz w:val="20"/>
                <w:szCs w:val="20"/>
              </w:rPr>
              <w:t>化）工</w:t>
            </w:r>
            <w:r>
              <w:rPr>
                <w:rFonts w:hint="eastAsia" w:ascii="宋体" w:hAnsi="宋体" w:eastAsia="宋体"/>
                <w:color w:val="000000"/>
                <w:sz w:val="20"/>
                <w:szCs w:val="20"/>
              </w:rPr>
              <w:t>作</w:t>
            </w:r>
            <w:r>
              <w:rPr>
                <w:rFonts w:hint="eastAsia" w:ascii="___WRD_EMBED_SUB_47" w:hAnsi="___WRD_EMBED_SUB_47" w:eastAsia="___WRD_EMBED_SUB_47" w:cs="___WRD_EMBED_SUB_47"/>
                <w:color w:val="000000"/>
                <w:sz w:val="20"/>
                <w:szCs w:val="20"/>
              </w:rPr>
              <w:t>委员会办公</w:t>
            </w:r>
            <w:r>
              <w:rPr>
                <w:rFonts w:hint="eastAsia" w:ascii="宋体" w:hAnsi="宋体" w:eastAsia="宋体"/>
                <w:color w:val="000000"/>
                <w:sz w:val="20"/>
                <w:szCs w:val="20"/>
              </w:rPr>
              <w:t>室</w:t>
            </w:r>
          </w:p>
        </w:tc>
        <w:tc>
          <w:tcPr>
            <w:tcW w:w="1551" w:type="pct"/>
            <w:gridSpan w:val="2"/>
            <w:tcBorders>
              <w:top w:val="nil"/>
              <w:left w:val="nil"/>
              <w:bottom w:val="single" w:color="auto" w:sz="4" w:space="0"/>
              <w:right w:val="nil"/>
            </w:tcBorders>
            <w:noWrap/>
            <w:vAlign w:val="bottom"/>
          </w:tcPr>
          <w:p>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591" w:type="pct"/>
            <w:gridSpan w:val="2"/>
            <w:tcBorders>
              <w:top w:val="nil"/>
              <w:left w:val="nil"/>
              <w:bottom w:val="single" w:color="auto" w:sz="4" w:space="0"/>
              <w:right w:val="nil"/>
            </w:tcBorders>
            <w:noWrap/>
            <w:vAlign w:val="bottom"/>
          </w:tcPr>
          <w:p>
            <w:pPr>
              <w:widowControl/>
              <w:jc w:val="right"/>
              <w:textAlignment w:val="bottom"/>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tblPrEx>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3552" w:type="pct"/>
            <w:gridSpan w:val="5"/>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tblPrEx>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tblPrEx>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olor w:val="000000"/>
                <w:sz w:val="20"/>
                <w:szCs w:val="20"/>
              </w:rPr>
            </w:pPr>
          </w:p>
        </w:tc>
        <w:tc>
          <w:tcPr>
            <w:tcW w:w="748" w:type="pct"/>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olor w:val="000000"/>
                <w:sz w:val="20"/>
                <w:szCs w:val="20"/>
              </w:rPr>
            </w:pPr>
          </w:p>
        </w:tc>
        <w:tc>
          <w:tcPr>
            <w:tcW w:w="1213" w:type="pct"/>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olor w:val="000000"/>
                <w:sz w:val="20"/>
                <w:szCs w:val="20"/>
              </w:rPr>
            </w:pPr>
          </w:p>
        </w:tc>
        <w:tc>
          <w:tcPr>
            <w:tcW w:w="748" w:type="pct"/>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olor w:val="000000"/>
                <w:sz w:val="20"/>
                <w:szCs w:val="20"/>
              </w:rPr>
            </w:pPr>
          </w:p>
        </w:tc>
        <w:tc>
          <w:tcPr>
            <w:tcW w:w="1213" w:type="pct"/>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213"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r>
      <w:tr>
        <w:tblPrEx>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1,003.49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640.19</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363.30</w:t>
            </w: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教育支出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0.68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0.68</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20508</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进修及培训</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0.68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0.68</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2050803</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培训支出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0.68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0.68</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61.48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61.48</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61.48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61.48</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61.48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61.48</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49.21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49.21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49.06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49.06</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16.02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16.02</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7.77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7.77</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2101103</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公务员医疗补助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25.27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25.27</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21099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0.15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0.15</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2109999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0.15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0.15</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城乡社区支出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847.95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484.65</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363.30</w:t>
            </w: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城乡社区管理事务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847.95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484.65</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363.30</w:t>
            </w: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2120101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751.54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388.24</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363.30</w:t>
            </w: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2120199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其他城乡社区管理事务支出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96.41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96.41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44.17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44.17</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44.17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44.17</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44.17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44.17</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注：本表反映部门本年度一般公共预算财政拨款支出情况。</w:t>
            </w:r>
          </w:p>
        </w:tc>
      </w:tr>
    </w:tbl>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2"/>
        <w:tblW w:w="7050" w:type="pct"/>
        <w:tblInd w:w="-1617" w:type="dxa"/>
        <w:tblLayout w:type="fixed"/>
        <w:tblCellMar>
          <w:top w:w="0" w:type="dxa"/>
          <w:left w:w="108" w:type="dxa"/>
          <w:bottom w:w="0" w:type="dxa"/>
          <w:right w:w="108" w:type="dxa"/>
        </w:tblCellMar>
      </w:tblPr>
      <w:tblGrid>
        <w:gridCol w:w="963"/>
        <w:gridCol w:w="1813"/>
        <w:gridCol w:w="1018"/>
        <w:gridCol w:w="964"/>
        <w:gridCol w:w="440"/>
        <w:gridCol w:w="1372"/>
        <w:gridCol w:w="589"/>
        <w:gridCol w:w="374"/>
        <w:gridCol w:w="964"/>
        <w:gridCol w:w="1816"/>
        <w:gridCol w:w="1023"/>
      </w:tblGrid>
      <w:tr>
        <w:tblPrEx>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pPr>
              <w:widowControl/>
              <w:jc w:val="center"/>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bCs/>
                <w:sz w:val="32"/>
                <w:szCs w:val="32"/>
              </w:rPr>
              <w:t>一般公共预算财政拨款基本支出决算表</w:t>
            </w:r>
          </w:p>
        </w:tc>
      </w:tr>
      <w:tr>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widowControl/>
              <w:jc w:val="right"/>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06</w:t>
            </w:r>
            <w:r>
              <w:rPr>
                <w:rFonts w:hint="eastAsia" w:ascii="方正仿宋_GB2312" w:hAnsi="方正仿宋_GB2312" w:eastAsia="方正仿宋_GB2312" w:cs="方正仿宋_GB2312"/>
                <w:color w:val="000000"/>
                <w:sz w:val="18"/>
                <w:szCs w:val="18"/>
              </w:rPr>
              <w:t>表</w:t>
            </w:r>
          </w:p>
        </w:tc>
      </w:tr>
      <w:tr>
        <w:tblPrEx>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pP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编制部门：</w:t>
            </w:r>
            <w:r>
              <w:rPr>
                <w:rFonts w:hint="eastAsia" w:ascii="宋体" w:hAnsi="宋体" w:eastAsia="宋体"/>
                <w:color w:val="000000"/>
                <w:sz w:val="18"/>
                <w:szCs w:val="18"/>
              </w:rPr>
              <w:t>唐山市</w:t>
            </w:r>
            <w:r>
              <w:rPr>
                <w:rFonts w:hint="eastAsia" w:ascii="___WRD_EMBED_SUB_47" w:hAnsi="___WRD_EMBED_SUB_47" w:eastAsia="___WRD_EMBED_SUB_47" w:cs="___WRD_EMBED_SUB_47"/>
                <w:color w:val="000000"/>
                <w:sz w:val="18"/>
                <w:szCs w:val="18"/>
              </w:rPr>
              <w:t>“一</w:t>
            </w:r>
            <w:r>
              <w:rPr>
                <w:rFonts w:hint="eastAsia" w:ascii="宋体" w:hAnsi="宋体" w:eastAsia="宋体"/>
                <w:color w:val="000000"/>
                <w:sz w:val="18"/>
                <w:szCs w:val="18"/>
              </w:rPr>
              <w:t>港双</w:t>
            </w:r>
            <w:r>
              <w:rPr>
                <w:rFonts w:hint="eastAsia" w:ascii="___WRD_EMBED_SUB_47" w:hAnsi="___WRD_EMBED_SUB_47" w:eastAsia="___WRD_EMBED_SUB_47" w:cs="___WRD_EMBED_SUB_47"/>
                <w:color w:val="000000"/>
                <w:sz w:val="18"/>
                <w:szCs w:val="18"/>
              </w:rPr>
              <w:t>城”（城</w:t>
            </w:r>
            <w:r>
              <w:rPr>
                <w:rFonts w:hint="eastAsia" w:ascii="宋体" w:hAnsi="宋体" w:eastAsia="宋体"/>
                <w:color w:val="000000"/>
                <w:sz w:val="18"/>
                <w:szCs w:val="18"/>
              </w:rPr>
              <w:t>镇</w:t>
            </w:r>
            <w:r>
              <w:rPr>
                <w:rFonts w:hint="eastAsia" w:ascii="___WRD_EMBED_SUB_47" w:hAnsi="___WRD_EMBED_SUB_47" w:eastAsia="___WRD_EMBED_SUB_47" w:cs="___WRD_EMBED_SUB_47"/>
                <w:color w:val="000000"/>
                <w:sz w:val="18"/>
                <w:szCs w:val="18"/>
              </w:rPr>
              <w:t>化）工</w:t>
            </w:r>
            <w:r>
              <w:rPr>
                <w:rFonts w:hint="eastAsia" w:ascii="宋体" w:hAnsi="宋体" w:eastAsia="宋体"/>
                <w:color w:val="000000"/>
                <w:sz w:val="18"/>
                <w:szCs w:val="18"/>
              </w:rPr>
              <w:t>作</w:t>
            </w:r>
            <w:r>
              <w:rPr>
                <w:rFonts w:hint="eastAsia" w:ascii="___WRD_EMBED_SUB_47" w:hAnsi="___WRD_EMBED_SUB_47" w:eastAsia="___WRD_EMBED_SUB_47" w:cs="___WRD_EMBED_SUB_47"/>
                <w:color w:val="000000"/>
                <w:sz w:val="18"/>
                <w:szCs w:val="18"/>
              </w:rPr>
              <w:t>委员会办公</w:t>
            </w:r>
            <w:r>
              <w:rPr>
                <w:rFonts w:hint="eastAsia" w:ascii="宋体" w:hAnsi="宋体" w:eastAsia="宋体"/>
                <w:color w:val="000000"/>
                <w:sz w:val="18"/>
                <w:szCs w:val="18"/>
              </w:rPr>
              <w:t>室</w:t>
            </w:r>
            <w:r>
              <w:rPr>
                <w:rFonts w:hint="eastAsia" w:ascii="方正仿宋_GB2312" w:hAnsi="方正仿宋_GB2312" w:eastAsia="方正仿宋_GB2312" w:cs="方正仿宋_GB2312"/>
                <w:color w:val="000000"/>
                <w:sz w:val="18"/>
                <w:szCs w:val="18"/>
              </w:rPr>
              <w:t xml:space="preserve"> </w:t>
            </w:r>
          </w:p>
        </w:tc>
        <w:tc>
          <w:tcPr>
            <w:tcW w:w="865" w:type="pct"/>
            <w:gridSpan w:val="2"/>
            <w:tcBorders>
              <w:top w:val="nil"/>
              <w:left w:val="nil"/>
              <w:bottom w:val="single" w:color="auto" w:sz="4" w:space="0"/>
              <w:right w:val="nil"/>
            </w:tcBorders>
            <w:noWrap/>
            <w:vAlign w:val="bottom"/>
          </w:tcPr>
          <w:p>
            <w:pPr>
              <w:jc w:val="center"/>
              <w:rPr>
                <w:rFonts w:asciiTheme="minorEastAsia" w:hAnsiTheme="minorEastAsia" w:cstheme="minorEastAsia"/>
                <w:color w:val="000000"/>
                <w:sz w:val="18"/>
                <w:szCs w:val="18"/>
              </w:rPr>
            </w:pPr>
            <w:r>
              <w:rPr>
                <w:rFonts w:hint="eastAsia" w:asciiTheme="minorEastAsia" w:hAnsiTheme="minorEastAsia" w:cstheme="minorEastAsia"/>
                <w:color w:val="000000"/>
                <w:sz w:val="18"/>
                <w:szCs w:val="18"/>
              </w:rPr>
              <w:t>2023</w:t>
            </w:r>
            <w:r>
              <w:rPr>
                <w:rFonts w:hint="eastAsia" w:ascii="方正仿宋_GB2312" w:hAnsi="方正仿宋_GB2312" w:eastAsia="方正仿宋_GB2312" w:cs="方正仿宋_GB2312"/>
                <w:color w:val="000000"/>
                <w:sz w:val="18"/>
                <w:szCs w:val="18"/>
              </w:rPr>
              <w:t>年度</w:t>
            </w:r>
          </w:p>
        </w:tc>
        <w:tc>
          <w:tcPr>
            <w:tcW w:w="1841" w:type="pct"/>
            <w:gridSpan w:val="4"/>
            <w:tcBorders>
              <w:top w:val="nil"/>
              <w:left w:val="nil"/>
              <w:bottom w:val="single" w:color="auto" w:sz="4" w:space="0"/>
              <w:right w:val="nil"/>
            </w:tcBorders>
            <w:noWrap/>
            <w:vAlign w:val="bottom"/>
          </w:tcPr>
          <w:p>
            <w:pPr>
              <w:jc w:val="right"/>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金额单位：万元</w:t>
            </w:r>
          </w:p>
        </w:tc>
      </w:tr>
      <w:tr>
        <w:tblPrEx>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公用经费</w:t>
            </w: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578.95</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60.50</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143.75</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2.74</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124.81</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101.43</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51.30</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61.48</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2.50</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14.89</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23.32</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7.24</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25.74</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1.59</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5.62</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44.17</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0.85</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1.35</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0.73</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0.68</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3.06</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0.02</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0.75</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0.98</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20.89</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0.71</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0.31</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cs="Times New Roman"/>
                <w:sz w:val="18"/>
                <w:szCs w:val="18"/>
              </w:rPr>
            </w:pPr>
            <w:r>
              <w:rPr>
                <w:rFonts w:hint="eastAsia" w:ascii="方正仿宋_GB2312" w:hAnsi="方正仿宋_GB2312" w:eastAsia="方正仿宋_GB2312" w:cs="方正仿宋_GB2312"/>
                <w:color w:val="000000"/>
                <w:sz w:val="18"/>
                <w:szCs w:val="18"/>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ascii="Times New Roman" w:hAnsi="Times New Roman" w:cs="Times New Roman"/>
                <w:sz w:val="18"/>
                <w:szCs w:val="18"/>
              </w:rPr>
              <w:t>579.68</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ascii="Times New Roman" w:hAnsi="Times New Roman" w:cs="Times New Roman"/>
                <w:sz w:val="18"/>
                <w:szCs w:val="18"/>
              </w:rPr>
              <w:t>60.50</w:t>
            </w:r>
          </w:p>
        </w:tc>
      </w:tr>
      <w:tr>
        <w:tblPrEx>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pPr>
              <w:widowControl/>
              <w:jc w:val="left"/>
              <w:textAlignment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注：本表反映部门本年度一般公共预算财政拨款基本支出明细情况。</w:t>
            </w:r>
          </w:p>
        </w:tc>
      </w:tr>
    </w:tbl>
    <w:p>
      <w:pPr>
        <w:rPr>
          <w:rFonts w:ascii="仿宋_GB2312" w:hAnsi="宋体" w:eastAsia="仿宋_GB2312"/>
          <w:b/>
          <w:sz w:val="32"/>
          <w:szCs w:val="32"/>
        </w:rPr>
      </w:pPr>
      <w:r>
        <w:rPr>
          <w:rFonts w:hint="eastAsia" w:ascii="仿宋_GB2312" w:hAnsi="宋体" w:eastAsia="仿宋_GB2312"/>
          <w:b/>
          <w:sz w:val="32"/>
          <w:szCs w:val="32"/>
        </w:rPr>
        <w:br w:type="page"/>
      </w:r>
    </w:p>
    <w:p>
      <w:pPr>
        <w:jc w:val="center"/>
        <w:rPr>
          <w:rFonts w:ascii="仿宋_GB2312" w:hAnsi="宋体" w:eastAsia="仿宋_GB2312"/>
          <w:b/>
          <w:sz w:val="32"/>
          <w:szCs w:val="32"/>
        </w:rPr>
      </w:pPr>
    </w:p>
    <w:tbl>
      <w:tblPr>
        <w:tblStyle w:val="12"/>
        <w:tblW w:w="6517" w:type="pct"/>
        <w:tblInd w:w="-1404" w:type="dxa"/>
        <w:tblLayout w:type="fixed"/>
        <w:tblCellMar>
          <w:top w:w="0" w:type="dxa"/>
          <w:left w:w="108" w:type="dxa"/>
          <w:bottom w:w="0" w:type="dxa"/>
          <w:right w:w="108" w:type="dxa"/>
        </w:tblCellMar>
      </w:tblPr>
      <w:tblGrid>
        <w:gridCol w:w="1260"/>
        <w:gridCol w:w="1473"/>
        <w:gridCol w:w="1306"/>
        <w:gridCol w:w="1025"/>
        <w:gridCol w:w="1107"/>
        <w:gridCol w:w="419"/>
        <w:gridCol w:w="700"/>
        <w:gridCol w:w="1146"/>
        <w:gridCol w:w="2043"/>
      </w:tblGrid>
      <w:tr>
        <w:tblPrEx>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政府性基金预算财政拨款收入支出决算表</w:t>
            </w:r>
          </w:p>
        </w:tc>
      </w:tr>
      <w:tr>
        <w:tblPrEx>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07</w:t>
            </w:r>
            <w:r>
              <w:rPr>
                <w:rFonts w:hint="eastAsia" w:ascii="方正仿宋_GB2312" w:hAnsi="方正仿宋_GB2312" w:eastAsia="方正仿宋_GB2312" w:cs="方正仿宋_GB2312"/>
                <w:color w:val="000000"/>
                <w:sz w:val="20"/>
                <w:szCs w:val="20"/>
              </w:rPr>
              <w:t>表</w:t>
            </w:r>
          </w:p>
        </w:tc>
      </w:tr>
      <w:tr>
        <w:tblPrEx>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编制部门：</w:t>
            </w:r>
            <w:r>
              <w:rPr>
                <w:rFonts w:hint="eastAsia" w:ascii="宋体" w:hAnsi="宋体" w:eastAsia="宋体"/>
                <w:color w:val="000000"/>
                <w:sz w:val="20"/>
                <w:szCs w:val="20"/>
              </w:rPr>
              <w:t>唐山市</w:t>
            </w:r>
            <w:r>
              <w:rPr>
                <w:rFonts w:hint="eastAsia" w:ascii="方正仿宋_GB2312" w:hAnsi="方正仿宋_GB2312" w:eastAsia="方正仿宋_GB2312" w:cs="方正仿宋_GB2312"/>
                <w:color w:val="000000"/>
                <w:sz w:val="20"/>
                <w:szCs w:val="20"/>
              </w:rPr>
              <w:t>“一</w:t>
            </w:r>
            <w:r>
              <w:rPr>
                <w:rFonts w:hint="eastAsia" w:ascii="宋体" w:hAnsi="宋体" w:eastAsia="宋体"/>
                <w:color w:val="000000"/>
                <w:sz w:val="20"/>
                <w:szCs w:val="20"/>
              </w:rPr>
              <w:t>港双</w:t>
            </w:r>
            <w:r>
              <w:rPr>
                <w:rFonts w:hint="eastAsia" w:ascii="___WRD_EMBED_SUB_47" w:hAnsi="___WRD_EMBED_SUB_47" w:eastAsia="___WRD_EMBED_SUB_47" w:cs="___WRD_EMBED_SUB_47"/>
                <w:color w:val="000000"/>
                <w:sz w:val="20"/>
                <w:szCs w:val="20"/>
              </w:rPr>
              <w:t>城”（城</w:t>
            </w:r>
            <w:r>
              <w:rPr>
                <w:rFonts w:hint="eastAsia" w:ascii="宋体" w:hAnsi="宋体" w:eastAsia="宋体"/>
                <w:color w:val="000000"/>
                <w:sz w:val="20"/>
                <w:szCs w:val="20"/>
              </w:rPr>
              <w:t>镇</w:t>
            </w:r>
            <w:r>
              <w:rPr>
                <w:rFonts w:hint="eastAsia" w:ascii="___WRD_EMBED_SUB_47" w:hAnsi="___WRD_EMBED_SUB_47" w:eastAsia="___WRD_EMBED_SUB_47" w:cs="___WRD_EMBED_SUB_47"/>
                <w:color w:val="000000"/>
                <w:sz w:val="20"/>
                <w:szCs w:val="20"/>
              </w:rPr>
              <w:t>化）工</w:t>
            </w:r>
            <w:r>
              <w:rPr>
                <w:rFonts w:hint="eastAsia" w:ascii="宋体" w:hAnsi="宋体" w:eastAsia="宋体"/>
                <w:color w:val="000000"/>
                <w:sz w:val="20"/>
                <w:szCs w:val="20"/>
              </w:rPr>
              <w:t>作</w:t>
            </w:r>
            <w:r>
              <w:rPr>
                <w:rFonts w:hint="eastAsia" w:ascii="___WRD_EMBED_SUB_47" w:hAnsi="___WRD_EMBED_SUB_47" w:eastAsia="___WRD_EMBED_SUB_47" w:cs="___WRD_EMBED_SUB_47"/>
                <w:color w:val="000000"/>
                <w:sz w:val="20"/>
                <w:szCs w:val="20"/>
              </w:rPr>
              <w:t>委员会办公</w:t>
            </w:r>
            <w:r>
              <w:rPr>
                <w:rFonts w:hint="eastAsia" w:ascii="宋体" w:hAnsi="宋体" w:eastAsia="宋体"/>
                <w:color w:val="000000"/>
                <w:sz w:val="20"/>
                <w:szCs w:val="20"/>
              </w:rPr>
              <w:t>室</w:t>
            </w:r>
            <w:r>
              <w:rPr>
                <w:rFonts w:hint="eastAsia" w:ascii="方正仿宋_GB2312" w:hAnsi="方正仿宋_GB2312" w:eastAsia="方正仿宋_GB2312" w:cs="方正仿宋_GB2312"/>
                <w:color w:val="000000"/>
                <w:sz w:val="20"/>
                <w:szCs w:val="20"/>
              </w:rPr>
              <w:t xml:space="preserve"> </w:t>
            </w:r>
          </w:p>
        </w:tc>
        <w:tc>
          <w:tcPr>
            <w:tcW w:w="1217" w:type="pct"/>
            <w:gridSpan w:val="3"/>
            <w:tcBorders>
              <w:top w:val="nil"/>
              <w:left w:val="nil"/>
              <w:bottom w:val="single" w:color="auto" w:sz="4" w:space="0"/>
              <w:right w:val="nil"/>
            </w:tcBorders>
            <w:noWrap/>
            <w:vAlign w:val="bottom"/>
          </w:tcPr>
          <w:p>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854" w:type="pct"/>
            <w:gridSpan w:val="3"/>
            <w:tcBorders>
              <w:top w:val="nil"/>
              <w:left w:val="nil"/>
              <w:bottom w:val="single" w:color="auto" w:sz="4" w:space="0"/>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23" w:type="pct"/>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489" w:type="pct"/>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w:t>
            </w:r>
          </w:p>
        </w:tc>
        <w:tc>
          <w:tcPr>
            <w:tcW w:w="1609" w:type="pct"/>
            <w:gridSpan w:val="4"/>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c>
          <w:tcPr>
            <w:tcW w:w="973" w:type="pct"/>
            <w:vMerge w:val="restart"/>
            <w:tcBorders>
              <w:top w:val="single" w:color="auto" w:sz="4" w:space="0"/>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r>
      <w:tr>
        <w:tblPrEx>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03"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23" w:type="pct"/>
            <w:vMerge w:val="continue"/>
            <w:tcBorders>
              <w:top w:val="single" w:color="000000" w:sz="4" w:space="0"/>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528"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534" w:type="pct"/>
            <w:gridSpan w:val="2"/>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546"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973" w:type="pct"/>
            <w:vMerge w:val="continue"/>
            <w:tcBorders>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结转</w:t>
            </w:r>
          </w:p>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w:t>
            </w:r>
          </w:p>
        </w:tc>
      </w:tr>
      <w:tr>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973" w:type="pct"/>
            <w:vMerge w:val="continue"/>
            <w:tcBorders>
              <w:left w:val="nil"/>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auto"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973" w:type="pct"/>
            <w:vMerge w:val="continue"/>
            <w:tcBorders>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23" w:type="pct"/>
            <w:tcBorders>
              <w:top w:val="nil"/>
              <w:left w:val="single" w:color="auto" w:sz="4" w:space="0"/>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1</w:t>
            </w:r>
          </w:p>
        </w:tc>
        <w:tc>
          <w:tcPr>
            <w:tcW w:w="489"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w:t>
            </w:r>
          </w:p>
        </w:tc>
        <w:tc>
          <w:tcPr>
            <w:tcW w:w="528"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3</w:t>
            </w:r>
          </w:p>
        </w:tc>
        <w:tc>
          <w:tcPr>
            <w:tcW w:w="534"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4</w:t>
            </w:r>
          </w:p>
        </w:tc>
        <w:tc>
          <w:tcPr>
            <w:tcW w:w="54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5</w:t>
            </w:r>
          </w:p>
        </w:tc>
        <w:tc>
          <w:tcPr>
            <w:tcW w:w="973"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6</w:t>
            </w:r>
          </w:p>
        </w:tc>
      </w:tr>
      <w:tr>
        <w:tblPrEx>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23" w:type="pct"/>
            <w:tcBorders>
              <w:top w:val="nil"/>
              <w:left w:val="single" w:color="auto"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8"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34"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7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rPr>
                <w:rFonts w:ascii="宋体" w:hAnsi="宋体"/>
                <w:color w:val="000000"/>
                <w:sz w:val="20"/>
                <w:szCs w:val="20"/>
              </w:rPr>
            </w:pPr>
            <w:r>
              <w:rPr>
                <w:rFonts w:hint="eastAsia" w:ascii="方正仿宋_GB2312" w:hAnsi="方正仿宋_GB2312" w:eastAsia="方正仿宋_GB2312" w:cs="方正仿宋_GB2312"/>
                <w:color w:val="000000"/>
                <w:sz w:val="20"/>
                <w:szCs w:val="20"/>
              </w:rPr>
              <w:t>注：本表反映部门本年度政府性基金预算财政拨款收入、支出及结转和结余情况。无相关数据，按要求以空表列示</w:t>
            </w:r>
            <w:r>
              <w:rPr>
                <w:rFonts w:hint="eastAsia" w:ascii="方正仿宋_GB2312" w:hAnsi="方正仿宋_GB2312" w:eastAsia="方正仿宋_GB2312" w:cs="方正仿宋_GB2312"/>
                <w:color w:val="000000"/>
                <w:sz w:val="20"/>
                <w:szCs w:val="20"/>
              </w:rPr>
              <w:br w:type="page"/>
            </w:r>
            <w:r>
              <w:rPr>
                <w:rFonts w:hint="eastAsia" w:ascii="方正仿宋_GB2312" w:hAnsi="方正仿宋_GB2312" w:eastAsia="方正仿宋_GB2312" w:cs="方正仿宋_GB2312"/>
                <w:color w:val="000000"/>
                <w:sz w:val="20"/>
                <w:szCs w:val="20"/>
              </w:rPr>
              <w:t>。</w:t>
            </w:r>
          </w:p>
        </w:tc>
      </w:tr>
    </w:tbl>
    <w:p>
      <w:pPr>
        <w:rPr>
          <w:rFonts w:ascii="仿宋_GB2312" w:hAnsi="宋体" w:eastAsia="仿宋_GB2312"/>
          <w:b/>
          <w:sz w:val="32"/>
          <w:szCs w:val="32"/>
        </w:rPr>
      </w:pPr>
      <w:r>
        <w:rPr>
          <w:rFonts w:hint="eastAsia" w:ascii="仿宋_GB2312" w:hAnsi="宋体" w:eastAsia="仿宋_GB2312"/>
          <w:b/>
          <w:sz w:val="32"/>
          <w:szCs w:val="32"/>
        </w:rPr>
        <w:br w:type="page"/>
      </w:r>
    </w:p>
    <w:p>
      <w:pPr>
        <w:widowControl/>
        <w:jc w:val="center"/>
        <w:textAlignment w:val="bottom"/>
        <w:rPr>
          <w:rFonts w:ascii="宋体" w:hAnsi="宋体" w:eastAsia="宋体"/>
          <w:spacing w:val="-2"/>
          <w:sz w:val="20"/>
        </w:rPr>
      </w:pPr>
    </w:p>
    <w:tbl>
      <w:tblPr>
        <w:tblStyle w:val="12"/>
        <w:tblW w:w="5000" w:type="pct"/>
        <w:tblInd w:w="0" w:type="dxa"/>
        <w:tblLayout w:type="fixed"/>
        <w:tblCellMar>
          <w:top w:w="0" w:type="dxa"/>
          <w:left w:w="108" w:type="dxa"/>
          <w:bottom w:w="0" w:type="dxa"/>
          <w:right w:w="108" w:type="dxa"/>
        </w:tblCellMar>
      </w:tblPr>
      <w:tblGrid>
        <w:gridCol w:w="2017"/>
        <w:gridCol w:w="730"/>
        <w:gridCol w:w="1298"/>
        <w:gridCol w:w="1336"/>
        <w:gridCol w:w="45"/>
        <w:gridCol w:w="1291"/>
        <w:gridCol w:w="1323"/>
      </w:tblGrid>
      <w:tr>
        <w:tblPrEx>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国有资本经营预算财政拨款支出决算表</w:t>
            </w:r>
          </w:p>
        </w:tc>
      </w:tr>
      <w:tr>
        <w:tblPrEx>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08</w:t>
            </w:r>
            <w:r>
              <w:rPr>
                <w:rFonts w:hint="eastAsia" w:ascii="方正仿宋_GB2312" w:hAnsi="方正仿宋_GB2312" w:eastAsia="方正仿宋_GB2312" w:cs="方正仿宋_GB2312"/>
                <w:color w:val="000000"/>
                <w:sz w:val="20"/>
                <w:szCs w:val="20"/>
              </w:rPr>
              <w:t>表</w:t>
            </w:r>
          </w:p>
        </w:tc>
      </w:tr>
      <w:tr>
        <w:tblPrEx>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pPr>
              <w:widowControl/>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编制部门：</w:t>
            </w:r>
            <w:r>
              <w:rPr>
                <w:rFonts w:hint="eastAsia" w:ascii="宋体" w:hAnsi="宋体" w:eastAsia="宋体"/>
                <w:color w:val="000000"/>
                <w:sz w:val="20"/>
                <w:szCs w:val="20"/>
              </w:rPr>
              <w:t>唐山市</w:t>
            </w:r>
            <w:r>
              <w:rPr>
                <w:rFonts w:hint="eastAsia" w:ascii="___WRD_EMBED_SUB_47" w:hAnsi="___WRD_EMBED_SUB_47" w:eastAsia="___WRD_EMBED_SUB_47" w:cs="___WRD_EMBED_SUB_47"/>
                <w:color w:val="000000"/>
                <w:sz w:val="20"/>
                <w:szCs w:val="20"/>
              </w:rPr>
              <w:t>“一</w:t>
            </w:r>
            <w:r>
              <w:rPr>
                <w:rFonts w:hint="eastAsia" w:ascii="宋体" w:hAnsi="宋体" w:eastAsia="宋体"/>
                <w:color w:val="000000"/>
                <w:sz w:val="20"/>
                <w:szCs w:val="20"/>
              </w:rPr>
              <w:t>港双</w:t>
            </w:r>
            <w:r>
              <w:rPr>
                <w:rFonts w:hint="eastAsia" w:ascii="___WRD_EMBED_SUB_47" w:hAnsi="___WRD_EMBED_SUB_47" w:eastAsia="___WRD_EMBED_SUB_47" w:cs="___WRD_EMBED_SUB_47"/>
                <w:color w:val="000000"/>
                <w:sz w:val="20"/>
                <w:szCs w:val="20"/>
              </w:rPr>
              <w:t>城”（城</w:t>
            </w:r>
            <w:r>
              <w:rPr>
                <w:rFonts w:hint="eastAsia" w:ascii="宋体" w:hAnsi="宋体" w:eastAsia="宋体"/>
                <w:color w:val="000000"/>
                <w:sz w:val="20"/>
                <w:szCs w:val="20"/>
              </w:rPr>
              <w:t>镇</w:t>
            </w:r>
            <w:r>
              <w:rPr>
                <w:rFonts w:hint="eastAsia" w:ascii="___WRD_EMBED_SUB_47" w:hAnsi="___WRD_EMBED_SUB_47" w:eastAsia="___WRD_EMBED_SUB_47" w:cs="___WRD_EMBED_SUB_47"/>
                <w:color w:val="000000"/>
                <w:sz w:val="20"/>
                <w:szCs w:val="20"/>
              </w:rPr>
              <w:t>化）工</w:t>
            </w:r>
            <w:r>
              <w:rPr>
                <w:rFonts w:hint="eastAsia" w:ascii="宋体" w:hAnsi="宋体" w:eastAsia="宋体"/>
                <w:color w:val="000000"/>
                <w:sz w:val="20"/>
                <w:szCs w:val="20"/>
              </w:rPr>
              <w:t>作</w:t>
            </w:r>
            <w:r>
              <w:rPr>
                <w:rFonts w:hint="eastAsia" w:ascii="___WRD_EMBED_SUB_47" w:hAnsi="___WRD_EMBED_SUB_47" w:eastAsia="___WRD_EMBED_SUB_47" w:cs="___WRD_EMBED_SUB_47"/>
                <w:color w:val="000000"/>
                <w:sz w:val="20"/>
                <w:szCs w:val="20"/>
              </w:rPr>
              <w:t>委员会办公</w:t>
            </w:r>
            <w:r>
              <w:rPr>
                <w:rFonts w:hint="eastAsia" w:ascii="宋体" w:hAnsi="宋体" w:eastAsia="宋体"/>
                <w:color w:val="000000"/>
                <w:sz w:val="20"/>
                <w:szCs w:val="20"/>
              </w:rPr>
              <w:t>室</w:t>
            </w:r>
          </w:p>
        </w:tc>
        <w:tc>
          <w:tcPr>
            <w:tcW w:w="1666" w:type="pct"/>
            <w:gridSpan w:val="3"/>
            <w:tcBorders>
              <w:top w:val="nil"/>
              <w:left w:val="nil"/>
              <w:bottom w:val="single" w:color="auto" w:sz="4" w:space="0"/>
              <w:right w:val="nil"/>
            </w:tcBorders>
            <w:noWrap/>
            <w:vAlign w:val="bottom"/>
          </w:tcPr>
          <w:p>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624" w:type="pct"/>
            <w:gridSpan w:val="2"/>
            <w:tcBorders>
              <w:top w:val="nil"/>
              <w:left w:val="nil"/>
              <w:bottom w:val="single" w:color="auto" w:sz="4" w:space="0"/>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tblPrEx>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 xml:space="preserve"> 项目</w:t>
            </w:r>
          </w:p>
        </w:tc>
        <w:tc>
          <w:tcPr>
            <w:tcW w:w="2484" w:type="pct"/>
            <w:gridSpan w:val="4"/>
            <w:vMerge w:val="restart"/>
            <w:tcBorders>
              <w:top w:val="single" w:color="auto" w:sz="4" w:space="0"/>
              <w:left w:val="single" w:color="auto"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tblPrEx>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2484" w:type="pct"/>
            <w:gridSpan w:val="4"/>
            <w:vMerge w:val="continue"/>
            <w:tcBorders>
              <w:left w:val="single" w:color="auto"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831" w:type="pct"/>
            <w:vMerge w:val="restart"/>
            <w:tcBorders>
              <w:top w:val="nil"/>
              <w:left w:val="single" w:color="auto"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831" w:type="pct"/>
            <w:gridSpan w:val="2"/>
            <w:vMerge w:val="restart"/>
            <w:tcBorders>
              <w:top w:val="nil"/>
              <w:left w:val="nil"/>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821" w:type="pct"/>
            <w:vMerge w:val="restart"/>
            <w:tcBorders>
              <w:top w:val="nil"/>
              <w:left w:val="nil"/>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tblPrEx>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1260" w:type="pct"/>
            <w:gridSpan w:val="2"/>
            <w:vMerge w:val="continue"/>
            <w:tcBorders>
              <w:top w:val="single" w:color="auto" w:sz="4" w:space="0"/>
              <w:left w:val="nil"/>
              <w:bottom w:val="single" w:color="auto" w:sz="4" w:space="0"/>
              <w:right w:val="single" w:color="auto" w:sz="4" w:space="0"/>
            </w:tcBorders>
            <w:noWrap/>
            <w:vAlign w:val="center"/>
          </w:tcPr>
          <w:p>
            <w:pPr>
              <w:jc w:val="center"/>
              <w:rPr>
                <w:rFonts w:ascii="方正仿宋_GB2312" w:hAnsi="方正仿宋_GB2312" w:eastAsia="方正仿宋_GB2312" w:cs="方正仿宋_GB2312"/>
                <w:color w:val="000000"/>
                <w:sz w:val="20"/>
                <w:szCs w:val="20"/>
              </w:rPr>
            </w:pPr>
          </w:p>
        </w:tc>
        <w:tc>
          <w:tcPr>
            <w:tcW w:w="831" w:type="pct"/>
            <w:vMerge w:val="continue"/>
            <w:tcBorders>
              <w:left w:val="single" w:color="auto" w:sz="4" w:space="0"/>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831" w:type="pct"/>
            <w:gridSpan w:val="2"/>
            <w:vMerge w:val="continue"/>
            <w:tcBorders>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821" w:type="pct"/>
            <w:vMerge w:val="continue"/>
            <w:tcBorders>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栏次</w:t>
            </w:r>
          </w:p>
        </w:tc>
        <w:tc>
          <w:tcPr>
            <w:tcW w:w="828" w:type="pct"/>
            <w:tcBorders>
              <w:top w:val="nil"/>
              <w:left w:val="single" w:color="auto" w:sz="4" w:space="0"/>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1</w:t>
            </w:r>
          </w:p>
        </w:tc>
        <w:tc>
          <w:tcPr>
            <w:tcW w:w="828"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2</w:t>
            </w:r>
          </w:p>
        </w:tc>
        <w:tc>
          <w:tcPr>
            <w:tcW w:w="828"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3</w:t>
            </w:r>
          </w:p>
        </w:tc>
      </w:tr>
      <w:tr>
        <w:tblPrEx>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eastAsia="宋体" w:cs="Times New Roman"/>
                <w:color w:val="000000"/>
                <w:sz w:val="20"/>
                <w:szCs w:val="20"/>
              </w:rPr>
            </w:pPr>
            <w:r>
              <w:rPr>
                <w:rFonts w:hint="eastAsia" w:ascii="Times New Roman" w:hAnsi="Times New Roman" w:eastAsia="方正仿宋_GB2312" w:cs="Times New Roman"/>
                <w:color w:val="000000"/>
                <w:sz w:val="20"/>
                <w:szCs w:val="20"/>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28" w:type="pct"/>
            <w:tcBorders>
              <w:top w:val="single" w:color="000000" w:sz="4" w:space="0"/>
              <w:left w:val="single" w:color="000000"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5000" w:type="pct"/>
            <w:gridSpan w:val="7"/>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注：本表反映部门本年度国有资本经营预算财政拨款支出情况。无相关数据，</w:t>
            </w:r>
            <w:r>
              <w:rPr>
                <w:rFonts w:hint="eastAsia" w:ascii="方正仿宋_GB2312" w:hAnsi="方正仿宋_GB2312" w:cs="方正仿宋_GB2312"/>
                <w:color w:val="000000"/>
                <w:sz w:val="20"/>
                <w:szCs w:val="20"/>
              </w:rPr>
              <w:t>按要求以</w:t>
            </w:r>
            <w:r>
              <w:rPr>
                <w:rFonts w:hint="eastAsia" w:ascii="方正仿宋_GB2312" w:hAnsi="方正仿宋_GB2312" w:eastAsia="方正仿宋_GB2312" w:cs="方正仿宋_GB2312"/>
                <w:color w:val="000000"/>
                <w:sz w:val="20"/>
                <w:szCs w:val="20"/>
              </w:rPr>
              <w:t>空表列示</w:t>
            </w:r>
            <w:r>
              <w:rPr>
                <w:rFonts w:hint="eastAsia" w:ascii="方正仿宋_GB2312" w:hAnsi="方正仿宋_GB2312" w:eastAsia="方正仿宋_GB2312" w:cs="方正仿宋_GB2312"/>
                <w:color w:val="000000"/>
                <w:sz w:val="20"/>
                <w:szCs w:val="20"/>
              </w:rPr>
              <w:br w:type="page"/>
            </w:r>
            <w:r>
              <w:rPr>
                <w:rFonts w:hint="eastAsia" w:ascii="方正仿宋_GB2312" w:hAnsi="方正仿宋_GB2312" w:cs="方正仿宋_GB2312"/>
                <w:color w:val="000000"/>
                <w:sz w:val="20"/>
                <w:szCs w:val="20"/>
              </w:rPr>
              <w:t>。</w:t>
            </w:r>
          </w:p>
        </w:tc>
      </w:tr>
    </w:tbl>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2"/>
        <w:tblpPr w:leftFromText="180" w:rightFromText="180" w:vertAnchor="text" w:horzAnchor="page" w:tblpX="282" w:tblpY="39"/>
        <w:tblOverlap w:val="never"/>
        <w:tblW w:w="7211" w:type="pct"/>
        <w:tblInd w:w="0" w:type="dxa"/>
        <w:tblLayout w:type="fixed"/>
        <w:tblCellMar>
          <w:top w:w="0" w:type="dxa"/>
          <w:left w:w="108" w:type="dxa"/>
          <w:bottom w:w="0" w:type="dxa"/>
          <w:right w:w="108" w:type="dxa"/>
        </w:tblCellMar>
      </w:tblPr>
      <w:tblGrid>
        <w:gridCol w:w="985"/>
        <w:gridCol w:w="1224"/>
        <w:gridCol w:w="812"/>
        <w:gridCol w:w="944"/>
        <w:gridCol w:w="524"/>
        <w:gridCol w:w="543"/>
        <w:gridCol w:w="779"/>
        <w:gridCol w:w="849"/>
        <w:gridCol w:w="1132"/>
        <w:gridCol w:w="638"/>
        <w:gridCol w:w="1025"/>
        <w:gridCol w:w="948"/>
        <w:gridCol w:w="1192"/>
      </w:tblGrid>
      <w:tr>
        <w:tblPrEx>
          <w:tblCellMar>
            <w:top w:w="0" w:type="dxa"/>
            <w:left w:w="108" w:type="dxa"/>
            <w:bottom w:w="0" w:type="dxa"/>
            <w:right w:w="108" w:type="dxa"/>
          </w:tblCellMar>
        </w:tblPrEx>
        <w:trPr>
          <w:trHeight w:val="550" w:hRule="atLeast"/>
        </w:trPr>
        <w:tc>
          <w:tcPr>
            <w:tcW w:w="5000" w:type="pct"/>
            <w:gridSpan w:val="13"/>
            <w:tcBorders>
              <w:top w:val="nil"/>
              <w:left w:val="nil"/>
              <w:bottom w:val="nil"/>
              <w:right w:val="nil"/>
            </w:tcBorders>
            <w:noWrap/>
            <w:vAlign w:val="bottom"/>
          </w:tcPr>
          <w:p>
            <w:pPr>
              <w:widowControl/>
              <w:jc w:val="center"/>
              <w:textAlignment w:val="bottom"/>
              <w:rPr>
                <w:rFonts w:ascii="宋体" w:hAnsi="宋体" w:eastAsia="宋体"/>
                <w:color w:val="000000"/>
                <w:sz w:val="18"/>
                <w:szCs w:val="18"/>
              </w:rPr>
            </w:pPr>
            <w:r>
              <w:rPr>
                <w:rFonts w:hint="eastAsia" w:ascii="方正仿宋_GB2312" w:hAnsi="方正仿宋_GB2312" w:eastAsia="方正仿宋_GB2312" w:cs="方正仿宋_GB2312"/>
                <w:bCs/>
                <w:sz w:val="32"/>
                <w:szCs w:val="32"/>
              </w:rPr>
              <w:t>财政拨款“三公”经费支出决算表</w:t>
            </w:r>
          </w:p>
        </w:tc>
      </w:tr>
      <w:tr>
        <w:tblPrEx>
          <w:tblCellMar>
            <w:top w:w="0" w:type="dxa"/>
            <w:left w:w="108" w:type="dxa"/>
            <w:bottom w:w="0" w:type="dxa"/>
            <w:right w:w="108" w:type="dxa"/>
          </w:tblCellMar>
        </w:tblPrEx>
        <w:trPr>
          <w:trHeight w:val="260" w:hRule="atLeast"/>
        </w:trPr>
        <w:tc>
          <w:tcPr>
            <w:tcW w:w="5000" w:type="pct"/>
            <w:gridSpan w:val="13"/>
            <w:tcBorders>
              <w:top w:val="nil"/>
              <w:left w:val="nil"/>
              <w:bottom w:val="nil"/>
              <w:right w:val="nil"/>
            </w:tcBorders>
            <w:noWrap/>
            <w:vAlign w:val="bottom"/>
          </w:tcPr>
          <w:p>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09</w:t>
            </w:r>
            <w:r>
              <w:rPr>
                <w:rFonts w:hint="eastAsia" w:ascii="方正仿宋_GB2312" w:hAnsi="方正仿宋_GB2312" w:eastAsia="方正仿宋_GB2312" w:cs="方正仿宋_GB2312"/>
                <w:color w:val="000000"/>
                <w:sz w:val="18"/>
                <w:szCs w:val="18"/>
              </w:rPr>
              <w:t>表</w:t>
            </w:r>
          </w:p>
        </w:tc>
      </w:tr>
      <w:tr>
        <w:tblPrEx>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pPr>
              <w:widowControl/>
              <w:jc w:val="lef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编制部门：</w:t>
            </w:r>
            <w:r>
              <w:rPr>
                <w:rFonts w:hint="eastAsia" w:ascii="宋体" w:hAnsi="宋体" w:eastAsia="宋体"/>
                <w:color w:val="000000"/>
                <w:sz w:val="18"/>
                <w:szCs w:val="18"/>
              </w:rPr>
              <w:t>唐山市</w:t>
            </w:r>
            <w:r>
              <w:rPr>
                <w:rFonts w:hint="eastAsia" w:ascii="___WRD_EMBED_SUB_47" w:hAnsi="___WRD_EMBED_SUB_47" w:eastAsia="___WRD_EMBED_SUB_47" w:cs="___WRD_EMBED_SUB_47"/>
                <w:color w:val="000000"/>
                <w:sz w:val="18"/>
                <w:szCs w:val="18"/>
              </w:rPr>
              <w:t>“一</w:t>
            </w:r>
            <w:r>
              <w:rPr>
                <w:rFonts w:hint="eastAsia" w:ascii="宋体" w:hAnsi="宋体" w:eastAsia="宋体"/>
                <w:color w:val="000000"/>
                <w:sz w:val="18"/>
                <w:szCs w:val="18"/>
              </w:rPr>
              <w:t>港双</w:t>
            </w:r>
            <w:r>
              <w:rPr>
                <w:rFonts w:hint="eastAsia" w:ascii="___WRD_EMBED_SUB_47" w:hAnsi="___WRD_EMBED_SUB_47" w:eastAsia="___WRD_EMBED_SUB_47" w:cs="___WRD_EMBED_SUB_47"/>
                <w:color w:val="000000"/>
                <w:sz w:val="18"/>
                <w:szCs w:val="18"/>
              </w:rPr>
              <w:t>城”（城</w:t>
            </w:r>
            <w:r>
              <w:rPr>
                <w:rFonts w:hint="eastAsia" w:ascii="宋体" w:hAnsi="宋体" w:eastAsia="宋体"/>
                <w:color w:val="000000"/>
                <w:sz w:val="18"/>
                <w:szCs w:val="18"/>
              </w:rPr>
              <w:t>镇</w:t>
            </w:r>
            <w:r>
              <w:rPr>
                <w:rFonts w:hint="eastAsia" w:ascii="___WRD_EMBED_SUB_47" w:hAnsi="___WRD_EMBED_SUB_47" w:eastAsia="___WRD_EMBED_SUB_47" w:cs="___WRD_EMBED_SUB_47"/>
                <w:color w:val="000000"/>
                <w:sz w:val="18"/>
                <w:szCs w:val="18"/>
              </w:rPr>
              <w:t>化）工</w:t>
            </w:r>
            <w:r>
              <w:rPr>
                <w:rFonts w:hint="eastAsia" w:ascii="宋体" w:hAnsi="宋体" w:eastAsia="宋体"/>
                <w:color w:val="000000"/>
                <w:sz w:val="18"/>
                <w:szCs w:val="18"/>
              </w:rPr>
              <w:t>作</w:t>
            </w:r>
            <w:r>
              <w:rPr>
                <w:rFonts w:hint="eastAsia" w:ascii="___WRD_EMBED_SUB_47" w:hAnsi="___WRD_EMBED_SUB_47" w:eastAsia="___WRD_EMBED_SUB_47" w:cs="___WRD_EMBED_SUB_47"/>
                <w:color w:val="000000"/>
                <w:sz w:val="18"/>
                <w:szCs w:val="18"/>
              </w:rPr>
              <w:t>委员会办公</w:t>
            </w:r>
            <w:r>
              <w:rPr>
                <w:rFonts w:hint="eastAsia" w:ascii="宋体" w:hAnsi="宋体" w:eastAsia="宋体"/>
                <w:color w:val="000000"/>
                <w:sz w:val="18"/>
                <w:szCs w:val="18"/>
              </w:rPr>
              <w:t>室</w:t>
            </w:r>
          </w:p>
        </w:tc>
        <w:tc>
          <w:tcPr>
            <w:tcW w:w="933" w:type="pct"/>
            <w:gridSpan w:val="3"/>
            <w:tcBorders>
              <w:top w:val="nil"/>
              <w:left w:val="nil"/>
              <w:bottom w:val="single" w:color="auto" w:sz="4" w:space="0"/>
              <w:right w:val="nil"/>
            </w:tcBorders>
            <w:noWrap/>
            <w:vAlign w:val="bottom"/>
          </w:tcPr>
          <w:p>
            <w:pPr>
              <w:widowControl/>
              <w:jc w:val="center"/>
              <w:textAlignment w:val="bottom"/>
              <w:rPr>
                <w:rFonts w:ascii="宋体" w:hAnsi="宋体" w:eastAsia="宋体"/>
                <w:color w:val="000000"/>
                <w:sz w:val="18"/>
                <w:szCs w:val="18"/>
              </w:rPr>
            </w:pPr>
            <w:r>
              <w:rPr>
                <w:rFonts w:ascii="Times New Roman" w:hAnsi="Times New Roman" w:eastAsia="宋体" w:cs="Times New Roman"/>
                <w:color w:val="000000"/>
                <w:sz w:val="18"/>
                <w:szCs w:val="18"/>
              </w:rPr>
              <w:t>2023</w:t>
            </w:r>
            <w:r>
              <w:rPr>
                <w:rFonts w:hint="eastAsia" w:ascii="方正仿宋_GB2312" w:hAnsi="方正仿宋_GB2312" w:eastAsia="方正仿宋_GB2312" w:cs="方正仿宋_GB2312"/>
                <w:color w:val="000000"/>
                <w:sz w:val="18"/>
                <w:szCs w:val="18"/>
              </w:rPr>
              <w:t>年度</w:t>
            </w:r>
          </w:p>
        </w:tc>
        <w:tc>
          <w:tcPr>
            <w:tcW w:w="2129" w:type="pct"/>
            <w:gridSpan w:val="5"/>
            <w:tcBorders>
              <w:top w:val="nil"/>
              <w:left w:val="nil"/>
              <w:bottom w:val="single" w:color="auto" w:sz="4" w:space="0"/>
              <w:right w:val="nil"/>
            </w:tcBorders>
            <w:noWrap/>
            <w:vAlign w:val="bottom"/>
          </w:tcPr>
          <w:p>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金额单位：万元</w:t>
            </w:r>
          </w:p>
        </w:tc>
      </w:tr>
      <w:tr>
        <w:tblPrEx>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预算数</w:t>
            </w:r>
          </w:p>
        </w:tc>
        <w:tc>
          <w:tcPr>
            <w:tcW w:w="2493" w:type="pct"/>
            <w:gridSpan w:val="6"/>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决算数</w:t>
            </w:r>
          </w:p>
        </w:tc>
      </w:tr>
      <w:tr>
        <w:tblPrEx>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528"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217" w:type="pct"/>
            <w:gridSpan w:val="4"/>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366"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488"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126" w:type="pct"/>
            <w:gridSpan w:val="3"/>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r>
      <w:tr>
        <w:tblPrEx>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528"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350"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58"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335"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366"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488"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275"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42"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511"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r>
      <w:tr>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w:t>
            </w:r>
          </w:p>
        </w:tc>
        <w:tc>
          <w:tcPr>
            <w:tcW w:w="528"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w:t>
            </w:r>
          </w:p>
        </w:tc>
        <w:tc>
          <w:tcPr>
            <w:tcW w:w="350"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4</w:t>
            </w:r>
          </w:p>
        </w:tc>
        <w:tc>
          <w:tcPr>
            <w:tcW w:w="458"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w:t>
            </w:r>
          </w:p>
        </w:tc>
        <w:tc>
          <w:tcPr>
            <w:tcW w:w="335"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6</w:t>
            </w:r>
          </w:p>
        </w:tc>
        <w:tc>
          <w:tcPr>
            <w:tcW w:w="3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7</w:t>
            </w:r>
          </w:p>
        </w:tc>
        <w:tc>
          <w:tcPr>
            <w:tcW w:w="488"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8</w:t>
            </w:r>
          </w:p>
        </w:tc>
        <w:tc>
          <w:tcPr>
            <w:tcW w:w="275"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9</w:t>
            </w:r>
          </w:p>
        </w:tc>
        <w:tc>
          <w:tcPr>
            <w:tcW w:w="442"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10</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11</w:t>
            </w:r>
          </w:p>
        </w:tc>
        <w:tc>
          <w:tcPr>
            <w:tcW w:w="511"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12</w:t>
            </w:r>
          </w:p>
        </w:tc>
      </w:tr>
      <w:tr>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3.42</w:t>
            </w:r>
          </w:p>
        </w:tc>
        <w:tc>
          <w:tcPr>
            <w:tcW w:w="528"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350"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2.88</w:t>
            </w:r>
          </w:p>
        </w:tc>
        <w:tc>
          <w:tcPr>
            <w:tcW w:w="407"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458"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2.88</w:t>
            </w:r>
          </w:p>
        </w:tc>
        <w:tc>
          <w:tcPr>
            <w:tcW w:w="335"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0.54</w:t>
            </w:r>
          </w:p>
        </w:tc>
        <w:tc>
          <w:tcPr>
            <w:tcW w:w="366"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0.98</w:t>
            </w:r>
          </w:p>
        </w:tc>
        <w:tc>
          <w:tcPr>
            <w:tcW w:w="488"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275"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0.98</w:t>
            </w:r>
          </w:p>
        </w:tc>
        <w:tc>
          <w:tcPr>
            <w:tcW w:w="442"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407"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0.98</w:t>
            </w:r>
          </w:p>
        </w:tc>
        <w:tc>
          <w:tcPr>
            <w:tcW w:w="511"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r>
      <w:tr>
        <w:tblPrEx>
          <w:tblCellMar>
            <w:top w:w="0" w:type="dxa"/>
            <w:left w:w="108" w:type="dxa"/>
            <w:bottom w:w="0" w:type="dxa"/>
            <w:right w:w="108" w:type="dxa"/>
          </w:tblCellMar>
        </w:tblPrEx>
        <w:trPr>
          <w:trHeight w:val="431" w:hRule="atLeast"/>
        </w:trPr>
        <w:tc>
          <w:tcPr>
            <w:tcW w:w="5000" w:type="pct"/>
            <w:gridSpan w:val="13"/>
            <w:tcBorders>
              <w:top w:val="nil"/>
              <w:left w:val="nil"/>
              <w:bottom w:val="nil"/>
              <w:right w:val="nil"/>
            </w:tcBorders>
            <w:noWrap/>
            <w:vAlign w:val="center"/>
          </w:tcPr>
          <w:p>
            <w:pPr>
              <w:widowControl/>
              <w:jc w:val="left"/>
              <w:textAlignment w:val="center"/>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rPr>
          <w:rFonts w:ascii="仿宋_GB2312" w:hAnsi="宋体" w:eastAsia="仿宋_GB2312"/>
          <w:b/>
          <w:sz w:val="32"/>
          <w:szCs w:val="32"/>
        </w:rPr>
      </w:pPr>
      <w:r>
        <w:rPr>
          <w:rFonts w:hint="eastAsia" w:ascii="仿宋_GB2312" w:hAnsi="宋体" w:eastAsia="仿宋_GB2312"/>
          <w:b/>
          <w:sz w:val="32"/>
          <w:szCs w:val="32"/>
        </w:rPr>
        <w:br w:type="page"/>
      </w:r>
    </w:p>
    <w:p>
      <w:pPr>
        <w:rPr>
          <w:rFonts w:ascii="仿宋_GB2312" w:hAnsi="宋体" w:eastAsia="仿宋_GB2312"/>
          <w:b/>
          <w:sz w:val="32"/>
          <w:szCs w:val="32"/>
        </w:rPr>
        <w:sectPr>
          <w:pgSz w:w="11906" w:h="16838"/>
          <w:pgMar w:top="1531" w:right="1984" w:bottom="1531" w:left="2098" w:header="851" w:footer="992" w:gutter="0"/>
          <w:cols w:space="720" w:num="1"/>
          <w:docGrid w:type="lines" w:linePitch="312" w:charSpace="0"/>
        </w:sectPr>
      </w:pPr>
    </w:p>
    <w:p>
      <w:pPr>
        <w:pStyle w:val="11"/>
        <w:widowControl/>
        <w:spacing w:beforeAutospacing="0" w:afterAutospacing="0"/>
        <w:jc w:val="both"/>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outlineLvl w:val="0"/>
        <w:rPr>
          <w:rFonts w:ascii="Arial" w:hAnsi="Arial" w:eastAsia="Arial" w:cs="Arial"/>
        </w:rPr>
      </w:pPr>
      <w:r>
        <w:rPr>
          <w:rFonts w:hint="eastAsia" w:ascii="黑体" w:hAnsi="宋体" w:eastAsia="黑体" w:cs="黑体"/>
          <w:color w:val="000000"/>
          <w:sz w:val="72"/>
          <w:szCs w:val="72"/>
          <w:shd w:val="clear" w:color="auto" w:fill="FFFFFF"/>
        </w:rPr>
        <w:t>第三部分</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spacing w:val="-20"/>
        </w:rPr>
      </w:pPr>
      <w:r>
        <w:rPr>
          <w:rFonts w:hint="eastAsia" w:ascii="黑体" w:hAnsi="宋体" w:eastAsia="黑体" w:cs="黑体"/>
          <w:color w:val="000000"/>
          <w:spacing w:val="-20"/>
          <w:sz w:val="72"/>
          <w:szCs w:val="72"/>
          <w:shd w:val="clear" w:color="auto" w:fill="FFFFFF"/>
        </w:rPr>
        <w:t>2023年度部门决算情况说明</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t> </w:t>
      </w:r>
    </w:p>
    <w:p>
      <w:pP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br w:type="page"/>
      </w:r>
    </w:p>
    <w:p>
      <w:pPr>
        <w:pStyle w:val="11"/>
        <w:widowControl/>
        <w:spacing w:beforeAutospacing="0" w:afterAutospacing="0"/>
        <w:jc w:val="both"/>
        <w:outlineLvl w:val="1"/>
        <w:rPr>
          <w:rFonts w:ascii="黑体" w:hAnsi="Calibri" w:eastAsia="黑体"/>
          <w:kern w:val="2"/>
          <w:sz w:val="32"/>
          <w:szCs w:val="32"/>
        </w:rPr>
      </w:pPr>
      <w:r>
        <w:rPr>
          <w:rFonts w:hint="eastAsia" w:ascii="黑体" w:hAnsi="Calibri" w:eastAsia="黑体"/>
          <w:kern w:val="2"/>
          <w:sz w:val="32"/>
          <w:szCs w:val="32"/>
        </w:rPr>
        <w:t>一、收入支出决算总体情况说明</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本部门2023年度收、支总计（含结转和结余）</w:t>
      </w:r>
      <w:r>
        <w:rPr>
          <w:rFonts w:ascii="Times New Roman" w:hAnsi="Times New Roman" w:eastAsia="仿宋_GB2312" w:cs="Times New Roman"/>
          <w:kern w:val="2"/>
          <w:sz w:val="32"/>
          <w:szCs w:val="32"/>
          <w:lang w:val="zh-CN"/>
        </w:rPr>
        <w:t>1,003.49</w:t>
      </w:r>
      <w:r>
        <w:rPr>
          <w:rFonts w:ascii="Times New Roman" w:hAnsi="Times New Roman" w:eastAsia="仿宋_GB2312" w:cs="Times New Roman"/>
          <w:kern w:val="2"/>
          <w:sz w:val="32"/>
          <w:szCs w:val="32"/>
        </w:rPr>
        <w:t>万元。与2022年度决算相比，收支各减少</w:t>
      </w:r>
      <w:r>
        <w:rPr>
          <w:rFonts w:hint="eastAsia" w:ascii="Times New Roman" w:hAnsi="Times New Roman" w:eastAsia="仿宋_GB2312" w:cs="Times New Roman"/>
          <w:kern w:val="2"/>
          <w:sz w:val="32"/>
          <w:szCs w:val="32"/>
        </w:rPr>
        <w:t>28.26</w:t>
      </w:r>
      <w:r>
        <w:rPr>
          <w:rFonts w:ascii="Times New Roman" w:hAnsi="Times New Roman" w:eastAsia="仿宋_GB2312" w:cs="Times New Roman"/>
          <w:kern w:val="2"/>
          <w:sz w:val="32"/>
          <w:szCs w:val="32"/>
        </w:rPr>
        <w:t>万元，下降</w:t>
      </w:r>
      <w:r>
        <w:rPr>
          <w:rFonts w:hint="eastAsia" w:ascii="Times New Roman" w:hAnsi="Times New Roman" w:eastAsia="仿宋_GB2312" w:cs="Times New Roman"/>
          <w:kern w:val="2"/>
          <w:sz w:val="32"/>
          <w:szCs w:val="32"/>
        </w:rPr>
        <w:t>2.7</w:t>
      </w:r>
      <w:r>
        <w:rPr>
          <w:rFonts w:hint="eastAsia" w:ascii="Times New Roman" w:hAnsi="Times New Roman" w:eastAsia="仿宋_GB2312" w:cs="Times New Roman"/>
          <w:kern w:val="2"/>
          <w:sz w:val="32"/>
          <w:szCs w:val="32"/>
          <w:lang w:val="en-US" w:eastAsia="zh-CN"/>
        </w:rPr>
        <w:t>0</w:t>
      </w:r>
      <w:r>
        <w:rPr>
          <w:rFonts w:ascii="Times New Roman" w:hAnsi="Times New Roman" w:eastAsia="仿宋_GB2312" w:cs="Times New Roman"/>
          <w:kern w:val="2"/>
          <w:sz w:val="32"/>
          <w:szCs w:val="32"/>
        </w:rPr>
        <w:t>%，主要原因是</w:t>
      </w:r>
      <w:r>
        <w:rPr>
          <w:rFonts w:hint="eastAsia" w:ascii="Times New Roman" w:hAnsi="Times New Roman" w:eastAsia="仿宋_GB2312"/>
          <w:kern w:val="2"/>
          <w:sz w:val="32"/>
          <w:szCs w:val="32"/>
          <w:lang w:val="zh-CN"/>
        </w:rPr>
        <w:t>厉行节约，加强资金管理</w:t>
      </w:r>
      <w:r>
        <w:rPr>
          <w:rFonts w:ascii="Times New Roman" w:hAnsi="Times New Roman" w:eastAsia="仿宋_GB2312" w:cs="Times New Roman"/>
          <w:kern w:val="2"/>
          <w:sz w:val="32"/>
          <w:szCs w:val="32"/>
        </w:rPr>
        <w:t>。</w:t>
      </w:r>
    </w:p>
    <w:p>
      <w:pPr>
        <w:pStyle w:val="11"/>
        <w:widowControl/>
        <w:spacing w:beforeAutospacing="0" w:afterAutospacing="0"/>
        <w:jc w:val="center"/>
        <w:rPr>
          <w:rFonts w:ascii="Times New Roman" w:hAnsi="Times New Roman" w:eastAsia="Arial"/>
        </w:rPr>
      </w:pPr>
      <w:r>
        <w:rPr>
          <w:rFonts w:ascii="Times New Roman" w:hAnsi="Times New Roman" w:eastAsia="Arial"/>
          <w:color w:val="000000"/>
          <w:sz w:val="18"/>
          <w:szCs w:val="18"/>
          <w:shd w:val="clear" w:color="auto" w:fill="FFFFFF"/>
        </w:rPr>
        <w:t> </w:t>
      </w:r>
    </w:p>
    <w:p>
      <w:pPr>
        <w:pStyle w:val="11"/>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二、收入决算情况说明</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本部门2023年度本年收入合计</w:t>
      </w:r>
      <w:r>
        <w:rPr>
          <w:rFonts w:ascii="Times New Roman" w:hAnsi="Times New Roman" w:eastAsia="仿宋_GB2312" w:cs="Times New Roman"/>
          <w:sz w:val="30"/>
          <w:szCs w:val="30"/>
        </w:rPr>
        <w:t>1003.49</w:t>
      </w:r>
      <w:r>
        <w:rPr>
          <w:rFonts w:ascii="Times New Roman" w:hAnsi="Times New Roman" w:eastAsia="仿宋_GB2312" w:cs="Times New Roman"/>
          <w:kern w:val="2"/>
          <w:sz w:val="32"/>
          <w:szCs w:val="32"/>
          <w:lang w:val="zh-CN"/>
        </w:rPr>
        <w:t>万元，其中：财政拨款收入1003.49万元，占100</w:t>
      </w:r>
      <w:r>
        <w:rPr>
          <w:rFonts w:hint="eastAsia" w:ascii="Times New Roman" w:hAnsi="Times New Roman" w:eastAsia="仿宋_GB2312" w:cs="Times New Roman"/>
          <w:kern w:val="2"/>
          <w:sz w:val="32"/>
          <w:szCs w:val="32"/>
          <w:lang w:val="en-US" w:eastAsia="zh-CN"/>
        </w:rPr>
        <w:t>.00</w:t>
      </w:r>
      <w:r>
        <w:rPr>
          <w:rFonts w:ascii="Times New Roman" w:hAnsi="Times New Roman" w:eastAsia="仿宋_GB2312" w:cs="Times New Roman"/>
          <w:kern w:val="2"/>
          <w:sz w:val="32"/>
          <w:szCs w:val="32"/>
          <w:lang w:val="zh-CN"/>
        </w:rPr>
        <w:t>%；上级补助收入0万元，占0%；事业收入0万元，占0%；经营收入0万元，占0%；附属单位上缴收入0万元，占0%；其他收入0万元，占0%</w:t>
      </w:r>
      <w:r>
        <w:rPr>
          <w:rFonts w:hint="eastAsia" w:ascii="Times New Roman" w:hAnsi="Times New Roman" w:eastAsia="仿宋_GB2312" w:cs="Times New Roman"/>
          <w:kern w:val="2"/>
          <w:sz w:val="32"/>
          <w:szCs w:val="32"/>
          <w:lang w:val="zh-CN"/>
        </w:rPr>
        <w:t>。</w:t>
      </w:r>
    </w:p>
    <w:p>
      <w:pPr>
        <w:pStyle w:val="11"/>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三、支出决算情况说明</w:t>
      </w:r>
    </w:p>
    <w:p>
      <w:pPr>
        <w:autoSpaceDE w:val="0"/>
        <w:autoSpaceDN w:val="0"/>
        <w:adjustRightInd w:val="0"/>
        <w:spacing w:line="580" w:lineRule="exact"/>
        <w:ind w:firstLine="6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本部门2023年度本年支出合计1003.49万元，其中：基本支出640.19万元，占63.8</w:t>
      </w:r>
      <w:r>
        <w:rPr>
          <w:rFonts w:hint="eastAsia" w:ascii="Times New Roman" w:hAnsi="Times New Roman" w:eastAsia="仿宋_GB2312" w:cs="Times New Roman"/>
          <w:kern w:val="2"/>
          <w:sz w:val="32"/>
          <w:szCs w:val="32"/>
          <w:lang w:val="en-US" w:eastAsia="zh-CN"/>
        </w:rPr>
        <w:t>0</w:t>
      </w:r>
      <w:r>
        <w:rPr>
          <w:rFonts w:ascii="Times New Roman" w:hAnsi="Times New Roman" w:eastAsia="仿宋_GB2312" w:cs="Times New Roman"/>
          <w:kern w:val="2"/>
          <w:sz w:val="32"/>
          <w:szCs w:val="32"/>
          <w:lang w:val="zh-CN"/>
        </w:rPr>
        <w:t>%；项目支出363.3</w:t>
      </w:r>
      <w:r>
        <w:rPr>
          <w:rFonts w:hint="eastAsia" w:ascii="Times New Roman" w:hAnsi="Times New Roman" w:eastAsia="仿宋_GB2312" w:cs="Times New Roman"/>
          <w:kern w:val="2"/>
          <w:sz w:val="32"/>
          <w:szCs w:val="32"/>
          <w:lang w:val="en-US" w:eastAsia="zh-CN"/>
        </w:rPr>
        <w:t>0</w:t>
      </w:r>
      <w:r>
        <w:rPr>
          <w:rFonts w:ascii="Times New Roman" w:hAnsi="Times New Roman" w:eastAsia="仿宋_GB2312" w:cs="Times New Roman"/>
          <w:kern w:val="2"/>
          <w:sz w:val="32"/>
          <w:szCs w:val="32"/>
          <w:lang w:val="zh-CN"/>
        </w:rPr>
        <w:t>万元，占36.2</w:t>
      </w:r>
      <w:r>
        <w:rPr>
          <w:rFonts w:hint="eastAsia" w:ascii="Times New Roman" w:hAnsi="Times New Roman" w:eastAsia="仿宋_GB2312" w:cs="Times New Roman"/>
          <w:kern w:val="2"/>
          <w:sz w:val="32"/>
          <w:szCs w:val="32"/>
          <w:lang w:val="en-US" w:eastAsia="zh-CN"/>
        </w:rPr>
        <w:t>0</w:t>
      </w:r>
      <w:r>
        <w:rPr>
          <w:rFonts w:ascii="Times New Roman" w:hAnsi="Times New Roman" w:eastAsia="仿宋_GB2312" w:cs="Times New Roman"/>
          <w:kern w:val="2"/>
          <w:sz w:val="32"/>
          <w:szCs w:val="32"/>
          <w:lang w:val="zh-CN"/>
        </w:rPr>
        <w:t>%；上缴上级支出0万元，占0%；经营支出0万元，占0%；对附属单位补助支出0万元，占0%</w:t>
      </w:r>
      <w:r>
        <w:rPr>
          <w:rFonts w:hint="eastAsia" w:ascii="Times New Roman" w:hAnsi="Times New Roman" w:eastAsia="仿宋_GB2312" w:cs="Times New Roman"/>
          <w:kern w:val="2"/>
          <w:sz w:val="32"/>
          <w:szCs w:val="32"/>
          <w:lang w:val="zh-CN"/>
        </w:rPr>
        <w:t>。</w:t>
      </w:r>
    </w:p>
    <w:p>
      <w:pPr>
        <w:pStyle w:val="11"/>
        <w:widowControl/>
        <w:spacing w:beforeAutospacing="0" w:afterAutospacing="0"/>
        <w:jc w:val="both"/>
        <w:outlineLvl w:val="1"/>
        <w:rPr>
          <w:rFonts w:ascii="Times New Roman" w:hAnsi="Times New Roman" w:eastAsia="Arial"/>
        </w:rPr>
      </w:pPr>
      <w:r>
        <w:rPr>
          <w:rFonts w:ascii="Times New Roman" w:hAnsi="Times New Roman" w:eastAsia="黑体"/>
          <w:kern w:val="2"/>
          <w:sz w:val="32"/>
          <w:szCs w:val="32"/>
        </w:rPr>
        <w:t>四、财政拨款收入支出决算总体情况说明</w:t>
      </w:r>
    </w:p>
    <w:p>
      <w:pPr>
        <w:pStyle w:val="11"/>
        <w:widowControl/>
        <w:spacing w:beforeAutospacing="0" w:afterAutospacing="0"/>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（一）财政拨款收支与2022年度决算对比情况</w:t>
      </w:r>
    </w:p>
    <w:p>
      <w:pPr>
        <w:pStyle w:val="11"/>
        <w:widowControl/>
        <w:spacing w:beforeAutospacing="0" w:afterAutospacing="0"/>
        <w:ind w:firstLine="640" w:firstLineChars="200"/>
        <w:rPr>
          <w:rFonts w:ascii="Times New Roman" w:hAnsi="Times New Roman" w:eastAsia="仿宋_GB2312"/>
          <w:sz w:val="30"/>
          <w:szCs w:val="30"/>
        </w:rPr>
      </w:pPr>
      <w:r>
        <w:rPr>
          <w:rFonts w:ascii="Times New Roman" w:hAnsi="Times New Roman" w:eastAsia="仿宋_GB2312"/>
          <w:kern w:val="2"/>
          <w:sz w:val="32"/>
          <w:szCs w:val="32"/>
          <w:lang w:val="zh-CN"/>
        </w:rPr>
        <w:t>本部门202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年度财政拨款本年收入1003.49</w:t>
      </w:r>
      <w:r>
        <w:rPr>
          <w:rFonts w:ascii="Times New Roman" w:hAnsi="Times New Roman" w:eastAsia="仿宋_GB2312"/>
          <w:kern w:val="2"/>
          <w:sz w:val="32"/>
          <w:szCs w:val="32"/>
        </w:rPr>
        <w:t>万</w:t>
      </w:r>
      <w:r>
        <w:rPr>
          <w:rFonts w:ascii="Times New Roman" w:hAnsi="Times New Roman" w:eastAsia="仿宋_GB2312"/>
          <w:kern w:val="2"/>
          <w:sz w:val="32"/>
          <w:szCs w:val="32"/>
          <w:lang w:val="zh-CN"/>
        </w:rPr>
        <w:t>元,比上年减少</w:t>
      </w:r>
      <w:r>
        <w:rPr>
          <w:rFonts w:hint="eastAsia" w:ascii="Times New Roman" w:hAnsi="Times New Roman" w:eastAsia="仿宋_GB2312"/>
          <w:kern w:val="2"/>
          <w:sz w:val="32"/>
          <w:szCs w:val="32"/>
          <w:lang w:val="zh-CN"/>
        </w:rPr>
        <w:t>28.26</w:t>
      </w:r>
      <w:r>
        <w:rPr>
          <w:rFonts w:ascii="Times New Roman" w:hAnsi="Times New Roman" w:eastAsia="仿宋_GB2312"/>
          <w:kern w:val="2"/>
          <w:sz w:val="32"/>
          <w:szCs w:val="32"/>
          <w:lang w:val="zh-CN"/>
        </w:rPr>
        <w:t>万元，降低</w:t>
      </w:r>
      <w:r>
        <w:rPr>
          <w:rFonts w:hint="eastAsia" w:ascii="Times New Roman" w:hAnsi="Times New Roman" w:eastAsia="仿宋_GB2312"/>
          <w:kern w:val="2"/>
          <w:sz w:val="32"/>
          <w:szCs w:val="32"/>
          <w:lang w:val="zh-CN"/>
        </w:rPr>
        <w:t>2.7</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val="zh-CN"/>
        </w:rPr>
        <w:t>厉行节约，加强管理</w:t>
      </w:r>
      <w:r>
        <w:rPr>
          <w:rFonts w:ascii="Times New Roman" w:hAnsi="Times New Roman" w:eastAsia="仿宋_GB2312"/>
          <w:kern w:val="2"/>
          <w:sz w:val="32"/>
          <w:szCs w:val="32"/>
          <w:lang w:val="zh-CN"/>
        </w:rPr>
        <w:t>；本年支出1003.49万元，比上年减少</w:t>
      </w:r>
      <w:r>
        <w:rPr>
          <w:rFonts w:hint="eastAsia" w:ascii="Times New Roman" w:hAnsi="Times New Roman" w:eastAsia="仿宋_GB2312"/>
          <w:kern w:val="2"/>
          <w:sz w:val="32"/>
          <w:szCs w:val="32"/>
          <w:lang w:val="zh-CN"/>
        </w:rPr>
        <w:t>28.26</w:t>
      </w:r>
      <w:r>
        <w:rPr>
          <w:rFonts w:ascii="Times New Roman" w:hAnsi="Times New Roman" w:eastAsia="仿宋_GB2312"/>
          <w:kern w:val="2"/>
          <w:sz w:val="32"/>
          <w:szCs w:val="32"/>
          <w:lang w:val="zh-CN"/>
        </w:rPr>
        <w:t>万元，降低</w:t>
      </w:r>
      <w:r>
        <w:rPr>
          <w:rFonts w:hint="eastAsia" w:ascii="Times New Roman" w:hAnsi="Times New Roman" w:eastAsia="仿宋_GB2312"/>
          <w:kern w:val="2"/>
          <w:sz w:val="32"/>
          <w:szCs w:val="32"/>
          <w:lang w:val="zh-CN"/>
        </w:rPr>
        <w:t>2.7</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val="zh-CN"/>
        </w:rPr>
        <w:t>厉行节约，加强管理</w:t>
      </w:r>
      <w:r>
        <w:rPr>
          <w:rFonts w:ascii="Times New Roman" w:hAnsi="Times New Roman" w:eastAsia="仿宋_GB2312"/>
          <w:kern w:val="2"/>
          <w:sz w:val="32"/>
          <w:szCs w:val="32"/>
          <w:lang w:val="zh-CN"/>
        </w:rPr>
        <w:t>。具体情况如下：</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1. 一般公共预算财政拨款本年收入1003.49万元,</w:t>
      </w:r>
      <w:r>
        <w:rPr>
          <w:rFonts w:ascii="Times New Roman" w:hAnsi="Times New Roman" w:eastAsia="仿宋_GB2312"/>
          <w:kern w:val="2"/>
          <w:sz w:val="32"/>
          <w:szCs w:val="32"/>
          <w:lang w:val="zh-CN"/>
        </w:rPr>
        <w:t xml:space="preserve"> 比上年减少</w:t>
      </w:r>
      <w:r>
        <w:rPr>
          <w:rFonts w:hint="eastAsia" w:ascii="Times New Roman" w:hAnsi="Times New Roman" w:eastAsia="仿宋_GB2312"/>
          <w:kern w:val="2"/>
          <w:sz w:val="32"/>
          <w:szCs w:val="32"/>
          <w:lang w:val="zh-CN"/>
        </w:rPr>
        <w:t>28.26</w:t>
      </w:r>
      <w:r>
        <w:rPr>
          <w:rFonts w:ascii="Times New Roman" w:hAnsi="Times New Roman" w:eastAsia="仿宋_GB2312"/>
          <w:kern w:val="2"/>
          <w:sz w:val="32"/>
          <w:szCs w:val="32"/>
          <w:lang w:val="zh-CN"/>
        </w:rPr>
        <w:t>万元，降低</w:t>
      </w:r>
      <w:r>
        <w:rPr>
          <w:rFonts w:hint="eastAsia" w:ascii="Times New Roman" w:hAnsi="Times New Roman" w:eastAsia="仿宋_GB2312"/>
          <w:kern w:val="2"/>
          <w:sz w:val="32"/>
          <w:szCs w:val="32"/>
          <w:lang w:val="zh-CN"/>
        </w:rPr>
        <w:t>2.7</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w:t>
      </w:r>
      <w:r>
        <w:rPr>
          <w:rFonts w:ascii="Times New Roman" w:hAnsi="Times New Roman" w:eastAsia="仿宋_GB2312" w:cs="Times New Roman"/>
          <w:kern w:val="2"/>
          <w:sz w:val="32"/>
          <w:szCs w:val="32"/>
          <w:lang w:val="zh-CN"/>
        </w:rPr>
        <w:t>主要是</w:t>
      </w:r>
      <w:r>
        <w:rPr>
          <w:rFonts w:hint="eastAsia" w:ascii="Times New Roman" w:hAnsi="Times New Roman" w:eastAsia="仿宋_GB2312"/>
          <w:kern w:val="2"/>
          <w:sz w:val="32"/>
          <w:szCs w:val="32"/>
          <w:lang w:val="zh-CN"/>
        </w:rPr>
        <w:t>厉行节约，加强管理</w:t>
      </w:r>
      <w:r>
        <w:rPr>
          <w:rFonts w:ascii="Times New Roman" w:hAnsi="Times New Roman" w:eastAsia="仿宋_GB2312" w:cs="Times New Roman"/>
          <w:kern w:val="2"/>
          <w:sz w:val="32"/>
          <w:szCs w:val="32"/>
          <w:lang w:val="zh-CN"/>
        </w:rPr>
        <w:t>；本年支出1003.49</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w:t>
      </w:r>
      <w:r>
        <w:rPr>
          <w:rFonts w:ascii="Times New Roman" w:hAnsi="Times New Roman" w:eastAsia="仿宋_GB2312"/>
          <w:kern w:val="2"/>
          <w:sz w:val="32"/>
          <w:szCs w:val="32"/>
          <w:lang w:val="zh-CN"/>
        </w:rPr>
        <w:t>比上年减少</w:t>
      </w:r>
      <w:r>
        <w:rPr>
          <w:rFonts w:hint="eastAsia" w:ascii="Times New Roman" w:hAnsi="Times New Roman" w:eastAsia="仿宋_GB2312"/>
          <w:kern w:val="2"/>
          <w:sz w:val="32"/>
          <w:szCs w:val="32"/>
          <w:lang w:val="zh-CN"/>
        </w:rPr>
        <w:t>28.26</w:t>
      </w:r>
      <w:r>
        <w:rPr>
          <w:rFonts w:ascii="Times New Roman" w:hAnsi="Times New Roman" w:eastAsia="仿宋_GB2312"/>
          <w:kern w:val="2"/>
          <w:sz w:val="32"/>
          <w:szCs w:val="32"/>
          <w:lang w:val="zh-CN"/>
        </w:rPr>
        <w:t>万元，降低</w:t>
      </w:r>
      <w:r>
        <w:rPr>
          <w:rFonts w:hint="eastAsia" w:ascii="Times New Roman" w:hAnsi="Times New Roman" w:eastAsia="仿宋_GB2312"/>
          <w:kern w:val="2"/>
          <w:sz w:val="32"/>
          <w:szCs w:val="32"/>
          <w:lang w:val="zh-CN"/>
        </w:rPr>
        <w:t>2.7</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w:t>
      </w:r>
      <w:r>
        <w:rPr>
          <w:rFonts w:ascii="Times New Roman" w:hAnsi="Times New Roman" w:eastAsia="仿宋_GB2312" w:cs="Times New Roman"/>
          <w:kern w:val="2"/>
          <w:sz w:val="32"/>
          <w:szCs w:val="32"/>
          <w:lang w:val="zh-CN"/>
        </w:rPr>
        <w:t>，主要是</w:t>
      </w:r>
      <w:r>
        <w:rPr>
          <w:rFonts w:hint="eastAsia" w:ascii="Times New Roman" w:hAnsi="Times New Roman" w:eastAsia="仿宋_GB2312"/>
          <w:kern w:val="2"/>
          <w:sz w:val="32"/>
          <w:szCs w:val="32"/>
          <w:lang w:val="zh-CN"/>
        </w:rPr>
        <w:t>厉行节约，加强管理</w:t>
      </w:r>
      <w:r>
        <w:rPr>
          <w:rFonts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kern w:val="2"/>
          <w:sz w:val="32"/>
          <w:szCs w:val="32"/>
          <w:lang w:val="zh-CN"/>
        </w:rPr>
        <w:t>2. 政府性基金预算财政拨款本年收入0</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w:t>
      </w:r>
      <w:r>
        <w:rPr>
          <w:rFonts w:hint="eastAsia" w:ascii="Times New Roman" w:hAnsi="Times New Roman" w:eastAsia="仿宋_GB2312" w:cs="Times New Roman"/>
          <w:kern w:val="2"/>
          <w:sz w:val="32"/>
          <w:szCs w:val="32"/>
          <w:lang w:val="zh-CN"/>
        </w:rPr>
        <w:t>比上年增加0万元，</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本年没有</w:t>
      </w:r>
      <w:r>
        <w:rPr>
          <w:rFonts w:ascii="Times New Roman" w:hAnsi="Times New Roman" w:eastAsia="仿宋_GB2312" w:cs="Times New Roman"/>
          <w:kern w:val="2"/>
          <w:sz w:val="32"/>
          <w:szCs w:val="32"/>
          <w:lang w:val="zh-CN"/>
        </w:rPr>
        <w:t>政府性基金预算财政拨款收入；本年支出0</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w:t>
      </w:r>
      <w:r>
        <w:rPr>
          <w:rFonts w:hint="eastAsia" w:ascii="Times New Roman" w:hAnsi="Times New Roman" w:eastAsia="仿宋_GB2312" w:cs="Times New Roman"/>
          <w:kern w:val="2"/>
          <w:sz w:val="32"/>
          <w:szCs w:val="32"/>
          <w:lang w:val="zh-CN"/>
        </w:rPr>
        <w:t>比上年增加0万元，</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本年没有</w:t>
      </w:r>
      <w:r>
        <w:rPr>
          <w:rFonts w:ascii="Times New Roman" w:hAnsi="Times New Roman" w:eastAsia="仿宋_GB2312" w:cs="Times New Roman"/>
          <w:kern w:val="2"/>
          <w:sz w:val="32"/>
          <w:szCs w:val="32"/>
          <w:lang w:val="zh-CN"/>
        </w:rPr>
        <w:t>政府性基金预算财政拨款</w:t>
      </w:r>
      <w:r>
        <w:rPr>
          <w:rFonts w:hint="eastAsia" w:ascii="Times New Roman" w:hAnsi="Times New Roman" w:eastAsia="仿宋_GB2312" w:cs="Times New Roman"/>
          <w:kern w:val="2"/>
          <w:sz w:val="32"/>
          <w:szCs w:val="32"/>
          <w:lang w:val="zh-CN"/>
        </w:rPr>
        <w:t>支出</w:t>
      </w:r>
      <w:r>
        <w:rPr>
          <w:rFonts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kern w:val="2"/>
          <w:sz w:val="32"/>
          <w:szCs w:val="32"/>
          <w:lang w:val="zh-CN"/>
        </w:rPr>
        <w:t>3. 国有资本经营预算财政拨款本年收入0</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w:t>
      </w:r>
      <w:r>
        <w:rPr>
          <w:rFonts w:hint="eastAsia" w:ascii="Times New Roman" w:hAnsi="Times New Roman" w:eastAsia="仿宋_GB2312" w:cs="Times New Roman"/>
          <w:kern w:val="2"/>
          <w:sz w:val="32"/>
          <w:szCs w:val="32"/>
          <w:lang w:val="zh-CN"/>
        </w:rPr>
        <w:t>比上年增加0万元，</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本年没有</w:t>
      </w:r>
      <w:r>
        <w:rPr>
          <w:rFonts w:ascii="Times New Roman" w:hAnsi="Times New Roman" w:eastAsia="仿宋_GB2312" w:cs="Times New Roman"/>
          <w:kern w:val="2"/>
          <w:sz w:val="32"/>
          <w:szCs w:val="32"/>
          <w:lang w:val="zh-CN"/>
        </w:rPr>
        <w:t>国有资本经营预算财政拨款收入；本年支出0</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w:t>
      </w:r>
      <w:r>
        <w:rPr>
          <w:rFonts w:hint="eastAsia" w:ascii="Times New Roman" w:hAnsi="Times New Roman" w:eastAsia="仿宋_GB2312" w:cs="Times New Roman"/>
          <w:kern w:val="2"/>
          <w:sz w:val="32"/>
          <w:szCs w:val="32"/>
          <w:lang w:val="zh-CN"/>
        </w:rPr>
        <w:t>比上年增加0万元，</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本年没有</w:t>
      </w:r>
      <w:r>
        <w:rPr>
          <w:rFonts w:ascii="Times New Roman" w:hAnsi="Times New Roman" w:eastAsia="仿宋_GB2312" w:cs="Times New Roman"/>
          <w:kern w:val="2"/>
          <w:sz w:val="32"/>
          <w:szCs w:val="32"/>
          <w:lang w:val="zh-CN"/>
        </w:rPr>
        <w:t>国有资本经营预算财政拨款</w:t>
      </w:r>
      <w:r>
        <w:rPr>
          <w:rFonts w:hint="eastAsia" w:ascii="Times New Roman" w:hAnsi="Times New Roman" w:eastAsia="仿宋_GB2312" w:cs="Times New Roman"/>
          <w:kern w:val="2"/>
          <w:sz w:val="32"/>
          <w:szCs w:val="32"/>
          <w:lang w:val="zh-CN"/>
        </w:rPr>
        <w:t>支出</w:t>
      </w:r>
      <w:r>
        <w:rPr>
          <w:rFonts w:ascii="Times New Roman" w:hAnsi="Times New Roman" w:eastAsia="仿宋_GB2312" w:cs="Times New Roman"/>
          <w:kern w:val="2"/>
          <w:sz w:val="32"/>
          <w:szCs w:val="32"/>
          <w:lang w:val="zh-CN"/>
        </w:rPr>
        <w:t>。</w:t>
      </w:r>
    </w:p>
    <w:p>
      <w:pPr>
        <w:snapToGrid w:val="0"/>
        <w:spacing w:line="580" w:lineRule="exact"/>
        <w:rPr>
          <w:rFonts w:ascii="Times New Roman" w:hAnsi="Times New Roman" w:eastAsia="楷体_GB2312" w:cs="Times New Roman"/>
          <w:b/>
          <w:bCs/>
          <w:kern w:val="2"/>
          <w:sz w:val="32"/>
          <w:szCs w:val="32"/>
        </w:rPr>
      </w:pPr>
      <w:r>
        <w:rPr>
          <w:rFonts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本部门202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年度财政拨款本年收入1003.49万元，完成年初预算的83.43%，比年初预算减少</w:t>
      </w:r>
      <w:r>
        <w:rPr>
          <w:rFonts w:hint="eastAsia" w:ascii="Times New Roman" w:hAnsi="Times New Roman" w:eastAsia="仿宋_GB2312" w:cs="Times New Roman"/>
          <w:kern w:val="2"/>
          <w:sz w:val="32"/>
          <w:szCs w:val="32"/>
          <w:lang w:val="zh-CN"/>
        </w:rPr>
        <w:t>199.34</w:t>
      </w:r>
      <w:r>
        <w:rPr>
          <w:rFonts w:ascii="Times New Roman" w:hAnsi="Times New Roman" w:eastAsia="仿宋_GB2312" w:cs="Times New Roman"/>
          <w:kern w:val="2"/>
          <w:sz w:val="32"/>
          <w:szCs w:val="32"/>
          <w:lang w:val="zh-CN"/>
        </w:rPr>
        <w:t>万元，决算数小于预算数主要原因是</w:t>
      </w:r>
      <w:r>
        <w:rPr>
          <w:rFonts w:hint="eastAsia" w:ascii="Times New Roman" w:hAnsi="Times New Roman" w:eastAsia="仿宋_GB2312"/>
          <w:kern w:val="2"/>
          <w:sz w:val="32"/>
          <w:szCs w:val="32"/>
          <w:lang w:val="zh-CN"/>
        </w:rPr>
        <w:t>厉行节约，加强管理</w:t>
      </w:r>
      <w:r>
        <w:rPr>
          <w:rFonts w:ascii="Times New Roman" w:hAnsi="Times New Roman" w:eastAsia="仿宋_GB2312" w:cs="Times New Roman"/>
          <w:kern w:val="2"/>
          <w:sz w:val="32"/>
          <w:szCs w:val="32"/>
          <w:lang w:val="zh-CN"/>
        </w:rPr>
        <w:t>；本年支出1003.49万元，完成年初预算的83.43%，比年初预算减少</w:t>
      </w:r>
      <w:r>
        <w:rPr>
          <w:rFonts w:hint="eastAsia" w:ascii="Times New Roman" w:hAnsi="Times New Roman" w:eastAsia="仿宋_GB2312" w:cs="Times New Roman"/>
          <w:kern w:val="2"/>
          <w:sz w:val="32"/>
          <w:szCs w:val="32"/>
          <w:lang w:val="zh-CN"/>
        </w:rPr>
        <w:t>199.34</w:t>
      </w:r>
      <w:r>
        <w:rPr>
          <w:rFonts w:ascii="Times New Roman" w:hAnsi="Times New Roman" w:eastAsia="仿宋_GB2312" w:cs="Times New Roman"/>
          <w:kern w:val="2"/>
          <w:sz w:val="32"/>
          <w:szCs w:val="32"/>
          <w:lang w:val="zh-CN"/>
        </w:rPr>
        <w:t>万元，决算数小于预算数主要原因是</w:t>
      </w:r>
      <w:r>
        <w:rPr>
          <w:rFonts w:hint="eastAsia" w:ascii="Times New Roman" w:hAnsi="Times New Roman" w:eastAsia="仿宋_GB2312"/>
          <w:kern w:val="2"/>
          <w:sz w:val="32"/>
          <w:szCs w:val="32"/>
          <w:lang w:val="zh-CN"/>
        </w:rPr>
        <w:t>厉行节约，加强管理</w:t>
      </w:r>
      <w:r>
        <w:rPr>
          <w:rFonts w:ascii="Times New Roman" w:hAnsi="Times New Roman" w:eastAsia="仿宋_GB2312" w:cs="Times New Roman"/>
          <w:kern w:val="2"/>
          <w:sz w:val="32"/>
          <w:szCs w:val="32"/>
          <w:lang w:val="zh-CN"/>
        </w:rPr>
        <w:t>。具体情况如下：</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rPr>
        <w:t>1.</w:t>
      </w:r>
      <w:r>
        <w:rPr>
          <w:rFonts w:ascii="Times New Roman" w:hAnsi="Times New Roman" w:eastAsia="仿宋_GB2312" w:cs="Times New Roman"/>
          <w:kern w:val="2"/>
          <w:sz w:val="32"/>
          <w:szCs w:val="32"/>
          <w:lang w:val="zh-CN"/>
        </w:rPr>
        <w:t>一般公共预算财政拨款</w:t>
      </w:r>
      <w:r>
        <w:rPr>
          <w:rFonts w:ascii="Times New Roman" w:hAnsi="Times New Roman" w:eastAsia="仿宋_GB2312" w:cs="Times New Roman"/>
          <w:kern w:val="2"/>
          <w:sz w:val="32"/>
          <w:szCs w:val="32"/>
        </w:rPr>
        <w:t>本年</w:t>
      </w:r>
      <w:r>
        <w:rPr>
          <w:rFonts w:ascii="Times New Roman" w:hAnsi="Times New Roman" w:eastAsia="仿宋_GB2312" w:cs="Times New Roman"/>
          <w:kern w:val="2"/>
          <w:sz w:val="32"/>
          <w:szCs w:val="32"/>
          <w:lang w:val="zh-CN"/>
        </w:rPr>
        <w:t>收入1003.49万元，完成年初预算的83.43%，比年初预算减少</w:t>
      </w:r>
      <w:r>
        <w:rPr>
          <w:rFonts w:hint="eastAsia" w:ascii="Times New Roman" w:hAnsi="Times New Roman" w:eastAsia="仿宋_GB2312" w:cs="Times New Roman"/>
          <w:kern w:val="2"/>
          <w:sz w:val="32"/>
          <w:szCs w:val="32"/>
          <w:lang w:val="zh-CN"/>
        </w:rPr>
        <w:t>199.34</w:t>
      </w:r>
      <w:r>
        <w:rPr>
          <w:rFonts w:ascii="Times New Roman" w:hAnsi="Times New Roman" w:eastAsia="仿宋_GB2312" w:cs="Times New Roman"/>
          <w:kern w:val="2"/>
          <w:sz w:val="32"/>
          <w:szCs w:val="32"/>
          <w:lang w:val="zh-CN"/>
        </w:rPr>
        <w:t>万元，主要原因是</w:t>
      </w:r>
      <w:r>
        <w:rPr>
          <w:rFonts w:hint="eastAsia" w:ascii="Times New Roman" w:hAnsi="Times New Roman" w:eastAsia="仿宋_GB2312"/>
          <w:kern w:val="2"/>
          <w:sz w:val="32"/>
          <w:szCs w:val="32"/>
          <w:lang w:val="zh-CN"/>
        </w:rPr>
        <w:t>厉行节约，加强管理</w:t>
      </w:r>
      <w:r>
        <w:rPr>
          <w:rFonts w:ascii="Times New Roman" w:hAnsi="Times New Roman" w:eastAsia="仿宋_GB2312" w:cs="Times New Roman"/>
          <w:kern w:val="2"/>
          <w:sz w:val="32"/>
          <w:szCs w:val="32"/>
          <w:lang w:val="zh-CN"/>
        </w:rPr>
        <w:t>；本年支出1003.49万元，完成年初预算的83.43%，比年初预算减少</w:t>
      </w:r>
      <w:r>
        <w:rPr>
          <w:rFonts w:hint="eastAsia" w:ascii="Times New Roman" w:hAnsi="Times New Roman" w:eastAsia="仿宋_GB2312" w:cs="Times New Roman"/>
          <w:kern w:val="2"/>
          <w:sz w:val="32"/>
          <w:szCs w:val="32"/>
          <w:lang w:val="zh-CN"/>
        </w:rPr>
        <w:t>199.34</w:t>
      </w:r>
      <w:r>
        <w:rPr>
          <w:rFonts w:ascii="Times New Roman" w:hAnsi="Times New Roman" w:eastAsia="仿宋_GB2312" w:cs="Times New Roman"/>
          <w:kern w:val="2"/>
          <w:sz w:val="32"/>
          <w:szCs w:val="32"/>
          <w:lang w:val="zh-CN"/>
        </w:rPr>
        <w:t>万元，主要原因是</w:t>
      </w:r>
      <w:r>
        <w:rPr>
          <w:rFonts w:hint="eastAsia" w:ascii="Times New Roman" w:hAnsi="Times New Roman" w:eastAsia="仿宋_GB2312"/>
          <w:kern w:val="2"/>
          <w:sz w:val="32"/>
          <w:szCs w:val="32"/>
          <w:lang w:val="zh-CN"/>
        </w:rPr>
        <w:t>厉行节约，加强管理</w:t>
      </w:r>
      <w:r>
        <w:rPr>
          <w:rFonts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2. 政府性基金预算财政拨款本年收入0万元，完成年初预算的</w:t>
      </w:r>
      <w:r>
        <w:rPr>
          <w:rFonts w:hint="eastAsia" w:ascii="Times New Roman" w:hAnsi="Times New Roman" w:eastAsia="仿宋_GB2312" w:cs="Times New Roman"/>
          <w:kern w:val="2"/>
          <w:sz w:val="32"/>
          <w:szCs w:val="32"/>
          <w:lang w:val="zh-CN"/>
        </w:rPr>
        <w:t>10</w:t>
      </w:r>
      <w:r>
        <w:rPr>
          <w:rFonts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en-US" w:eastAsia="zh-CN"/>
        </w:rPr>
        <w:t>.00</w:t>
      </w:r>
      <w:r>
        <w:rPr>
          <w:rFonts w:ascii="Times New Roman" w:hAnsi="Times New Roman" w:eastAsia="仿宋_GB2312" w:cs="Times New Roman"/>
          <w:kern w:val="2"/>
          <w:sz w:val="32"/>
          <w:szCs w:val="32"/>
          <w:lang w:val="zh-CN"/>
        </w:rPr>
        <w:t>%，比年初预算增加</w:t>
      </w:r>
      <w:r>
        <w:rPr>
          <w:rFonts w:hint="eastAsia" w:ascii="Times New Roman" w:hAnsi="Times New Roman" w:eastAsia="仿宋_GB2312" w:cs="Times New Roman"/>
          <w:kern w:val="2"/>
          <w:sz w:val="32"/>
          <w:szCs w:val="32"/>
          <w:lang w:val="zh-CN"/>
        </w:rPr>
        <w:t>0</w:t>
      </w:r>
      <w:r>
        <w:rPr>
          <w:rFonts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没有</w:t>
      </w:r>
      <w:r>
        <w:rPr>
          <w:rFonts w:ascii="Times New Roman" w:hAnsi="Times New Roman" w:eastAsia="仿宋_GB2312" w:cs="Times New Roman"/>
          <w:kern w:val="2"/>
          <w:sz w:val="32"/>
          <w:szCs w:val="32"/>
          <w:lang w:val="zh-CN"/>
        </w:rPr>
        <w:t>政府性基金预算财政拨款收入；本年支出0万元，完成年初预算的</w:t>
      </w:r>
      <w:r>
        <w:rPr>
          <w:rFonts w:hint="eastAsia" w:ascii="Times New Roman" w:hAnsi="Times New Roman" w:eastAsia="仿宋_GB2312" w:cs="Times New Roman"/>
          <w:kern w:val="2"/>
          <w:sz w:val="32"/>
          <w:szCs w:val="32"/>
          <w:lang w:val="zh-CN"/>
        </w:rPr>
        <w:t>10</w:t>
      </w:r>
      <w:r>
        <w:rPr>
          <w:rFonts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en-US" w:eastAsia="zh-CN"/>
        </w:rPr>
        <w:t>.00</w:t>
      </w:r>
      <w:r>
        <w:rPr>
          <w:rFonts w:ascii="Times New Roman" w:hAnsi="Times New Roman" w:eastAsia="仿宋_GB2312" w:cs="Times New Roman"/>
          <w:kern w:val="2"/>
          <w:sz w:val="32"/>
          <w:szCs w:val="32"/>
          <w:lang w:val="zh-CN"/>
        </w:rPr>
        <w:t>%，比年初预算增加</w:t>
      </w:r>
      <w:r>
        <w:rPr>
          <w:rFonts w:hint="eastAsia" w:ascii="Times New Roman" w:hAnsi="Times New Roman" w:eastAsia="仿宋_GB2312" w:cs="Times New Roman"/>
          <w:kern w:val="2"/>
          <w:sz w:val="32"/>
          <w:szCs w:val="32"/>
          <w:lang w:val="zh-CN"/>
        </w:rPr>
        <w:t>0</w:t>
      </w:r>
      <w:r>
        <w:rPr>
          <w:rFonts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没有</w:t>
      </w:r>
      <w:r>
        <w:rPr>
          <w:rFonts w:ascii="Times New Roman" w:hAnsi="Times New Roman" w:eastAsia="仿宋_GB2312" w:cs="Times New Roman"/>
          <w:kern w:val="2"/>
          <w:sz w:val="32"/>
          <w:szCs w:val="32"/>
          <w:lang w:val="zh-CN"/>
        </w:rPr>
        <w:t>政府性基金预算财政拨款</w:t>
      </w:r>
      <w:r>
        <w:rPr>
          <w:rFonts w:hint="eastAsia" w:ascii="Times New Roman" w:hAnsi="Times New Roman" w:eastAsia="仿宋_GB2312" w:cs="Times New Roman"/>
          <w:kern w:val="2"/>
          <w:sz w:val="32"/>
          <w:szCs w:val="32"/>
          <w:lang w:val="zh-CN"/>
        </w:rPr>
        <w:t>支出</w:t>
      </w:r>
      <w:r>
        <w:rPr>
          <w:rFonts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3. 国有资本经营预算财政拨款本年收入0万元，完成年初预算的</w:t>
      </w:r>
      <w:r>
        <w:rPr>
          <w:rFonts w:hint="eastAsia" w:ascii="Times New Roman" w:hAnsi="Times New Roman" w:eastAsia="仿宋_GB2312" w:cs="Times New Roman"/>
          <w:kern w:val="2"/>
          <w:sz w:val="32"/>
          <w:szCs w:val="32"/>
          <w:lang w:val="zh-CN"/>
        </w:rPr>
        <w:t>10</w:t>
      </w:r>
      <w:r>
        <w:rPr>
          <w:rFonts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en-US" w:eastAsia="zh-CN"/>
        </w:rPr>
        <w:t>.00</w:t>
      </w:r>
      <w:r>
        <w:rPr>
          <w:rFonts w:ascii="Times New Roman" w:hAnsi="Times New Roman" w:eastAsia="仿宋_GB2312" w:cs="Times New Roman"/>
          <w:kern w:val="2"/>
          <w:sz w:val="32"/>
          <w:szCs w:val="32"/>
          <w:lang w:val="zh-CN"/>
        </w:rPr>
        <w:t>%，比年初预算增加</w:t>
      </w:r>
      <w:r>
        <w:rPr>
          <w:rFonts w:hint="eastAsia" w:ascii="Times New Roman" w:hAnsi="Times New Roman" w:eastAsia="仿宋_GB2312" w:cs="Times New Roman"/>
          <w:kern w:val="2"/>
          <w:sz w:val="32"/>
          <w:szCs w:val="32"/>
          <w:lang w:val="zh-CN"/>
        </w:rPr>
        <w:t>0</w:t>
      </w:r>
      <w:r>
        <w:rPr>
          <w:rFonts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没有</w:t>
      </w:r>
      <w:r>
        <w:rPr>
          <w:rFonts w:ascii="Times New Roman" w:hAnsi="Times New Roman" w:eastAsia="仿宋_GB2312" w:cs="Times New Roman"/>
          <w:kern w:val="2"/>
          <w:sz w:val="32"/>
          <w:szCs w:val="32"/>
          <w:lang w:val="zh-CN"/>
        </w:rPr>
        <w:t>国有资本经营预算财政拨款收入；本年支出0万元，完成年初预算的</w:t>
      </w:r>
      <w:r>
        <w:rPr>
          <w:rFonts w:hint="eastAsia" w:ascii="Times New Roman" w:hAnsi="Times New Roman" w:eastAsia="仿宋_GB2312" w:cs="Times New Roman"/>
          <w:kern w:val="2"/>
          <w:sz w:val="32"/>
          <w:szCs w:val="32"/>
          <w:lang w:val="zh-CN"/>
        </w:rPr>
        <w:t>10</w:t>
      </w:r>
      <w:r>
        <w:rPr>
          <w:rFonts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en-US" w:eastAsia="zh-CN"/>
        </w:rPr>
        <w:t>.00</w:t>
      </w:r>
      <w:r>
        <w:rPr>
          <w:rFonts w:ascii="Times New Roman" w:hAnsi="Times New Roman" w:eastAsia="仿宋_GB2312" w:cs="Times New Roman"/>
          <w:kern w:val="2"/>
          <w:sz w:val="32"/>
          <w:szCs w:val="32"/>
          <w:lang w:val="zh-CN"/>
        </w:rPr>
        <w:t>%，比年初预算增加</w:t>
      </w:r>
      <w:r>
        <w:rPr>
          <w:rFonts w:hint="eastAsia" w:ascii="Times New Roman" w:hAnsi="Times New Roman" w:eastAsia="仿宋_GB2312" w:cs="Times New Roman"/>
          <w:kern w:val="2"/>
          <w:sz w:val="32"/>
          <w:szCs w:val="32"/>
          <w:lang w:val="zh-CN"/>
        </w:rPr>
        <w:t>0</w:t>
      </w:r>
      <w:r>
        <w:rPr>
          <w:rFonts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没有</w:t>
      </w:r>
      <w:r>
        <w:rPr>
          <w:rFonts w:ascii="Times New Roman" w:hAnsi="Times New Roman" w:eastAsia="仿宋_GB2312" w:cs="Times New Roman"/>
          <w:kern w:val="2"/>
          <w:sz w:val="32"/>
          <w:szCs w:val="32"/>
          <w:lang w:val="zh-CN"/>
        </w:rPr>
        <w:t>国有资本经营预算财政拨款</w:t>
      </w:r>
      <w:r>
        <w:rPr>
          <w:rFonts w:hint="eastAsia" w:ascii="Times New Roman" w:hAnsi="Times New Roman" w:eastAsia="仿宋_GB2312" w:cs="Times New Roman"/>
          <w:kern w:val="2"/>
          <w:sz w:val="32"/>
          <w:szCs w:val="32"/>
          <w:lang w:val="zh-CN"/>
        </w:rPr>
        <w:t>支出</w:t>
      </w:r>
      <w:r>
        <w:rPr>
          <w:rFonts w:ascii="Times New Roman" w:hAnsi="Times New Roman" w:eastAsia="仿宋_GB2312" w:cs="Times New Roman"/>
          <w:kern w:val="2"/>
          <w:sz w:val="32"/>
          <w:szCs w:val="32"/>
          <w:lang w:val="zh-CN"/>
        </w:rPr>
        <w:t>。</w:t>
      </w:r>
    </w:p>
    <w:p>
      <w:pPr>
        <w:pStyle w:val="11"/>
        <w:widowControl/>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（三）财政拨款支出决算结构情况</w:t>
      </w:r>
    </w:p>
    <w:p>
      <w:pPr>
        <w:adjustRightInd w:val="0"/>
        <w:snapToGrid w:val="0"/>
        <w:spacing w:line="58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kern w:val="2"/>
          <w:sz w:val="32"/>
          <w:szCs w:val="32"/>
          <w:lang w:val="zh-CN"/>
        </w:rPr>
        <w:t>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年度财政拨款支出1003.49万元，主要用于以下方面：</w:t>
      </w:r>
      <w:r>
        <w:rPr>
          <w:rFonts w:ascii="Times New Roman" w:hAnsi="Times New Roman" w:eastAsia="仿宋_GB2312" w:cs="Times New Roman"/>
          <w:sz w:val="32"/>
          <w:szCs w:val="32"/>
        </w:rPr>
        <w:t xml:space="preserve"> </w:t>
      </w:r>
    </w:p>
    <w:p>
      <w:pPr>
        <w:pStyle w:val="11"/>
        <w:keepNext w:val="0"/>
        <w:keepLines w:val="0"/>
        <w:pageBreakBefore w:val="0"/>
        <w:widowControl/>
        <w:kinsoku/>
        <w:wordWrap/>
        <w:overflowPunct/>
        <w:topLinePunct w:val="0"/>
        <w:autoSpaceDE/>
        <w:autoSpaceDN/>
        <w:bidi w:val="0"/>
        <w:adjustRightInd/>
        <w:snapToGrid/>
        <w:spacing w:beforeAutospacing="0" w:afterAutospacing="0"/>
        <w:ind w:firstLine="640" w:firstLineChars="200"/>
        <w:textAlignment w:val="auto"/>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t>教育（类）支出0.68万元，占0.07%；社会保障和就业 （类）支出61.48万元，占6.13%；卫生健康（类）支出49.21万元，占4.9</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%；城乡社区（类）支出847.95万元，占84.5</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%；住房保障（类）支出44.17万元，占4.4</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w:t>
      </w:r>
    </w:p>
    <w:p>
      <w:pPr>
        <w:pStyle w:val="11"/>
        <w:widowControl/>
        <w:spacing w:beforeAutospacing="0" w:afterAutospacing="0"/>
        <w:rPr>
          <w:rFonts w:ascii="Times New Roman" w:hAnsi="Times New Roman" w:eastAsia="楷体_GB2312"/>
          <w:b/>
          <w:bCs/>
          <w:kern w:val="2"/>
          <w:sz w:val="32"/>
          <w:szCs w:val="32"/>
        </w:rPr>
      </w:pPr>
      <w:r>
        <w:rPr>
          <w:rFonts w:ascii="Times New Roman" w:hAnsi="Times New Roman" w:eastAsia="楷体_GB2312"/>
          <w:b/>
          <w:bCs/>
          <w:kern w:val="2"/>
          <w:sz w:val="32"/>
          <w:szCs w:val="32"/>
        </w:rPr>
        <w:t>（</w:t>
      </w:r>
      <w:r>
        <w:rPr>
          <w:rFonts w:hint="eastAsia" w:ascii="Times New Roman" w:hAnsi="Times New Roman" w:eastAsia="楷体_GB2312"/>
          <w:b/>
          <w:bCs/>
          <w:kern w:val="2"/>
          <w:sz w:val="32"/>
          <w:szCs w:val="32"/>
        </w:rPr>
        <w:t>四</w:t>
      </w:r>
      <w:r>
        <w:rPr>
          <w:rFonts w:ascii="Times New Roman" w:hAnsi="Times New Roman" w:eastAsia="楷体_GB2312"/>
          <w:b/>
          <w:bCs/>
          <w:kern w:val="2"/>
          <w:sz w:val="32"/>
          <w:szCs w:val="32"/>
        </w:rPr>
        <w:t>）一般公共预算基本支出决算情况说明</w:t>
      </w:r>
    </w:p>
    <w:p>
      <w:pPr>
        <w:pStyle w:val="11"/>
        <w:widowControl/>
        <w:spacing w:beforeAutospacing="0" w:afterAutospacing="0"/>
        <w:ind w:firstLine="640" w:firstLineChars="20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t>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年度财政拨款基本支出640.19万元，其中：</w:t>
      </w:r>
    </w:p>
    <w:p>
      <w:pPr>
        <w:pStyle w:val="11"/>
        <w:widowControl/>
        <w:spacing w:beforeAutospacing="0" w:afterAutospacing="0"/>
        <w:ind w:firstLine="640" w:firstLineChars="200"/>
        <w:rPr>
          <w:rFonts w:ascii="Times New Roman" w:hAnsi="Times New Roman" w:eastAsia="仿宋_GB2312"/>
          <w:sz w:val="32"/>
          <w:szCs w:val="32"/>
        </w:rPr>
      </w:pPr>
      <w:r>
        <w:rPr>
          <w:rFonts w:ascii="Times New Roman" w:hAnsi="Times New Roman" w:eastAsia="仿宋_GB2312"/>
          <w:kern w:val="2"/>
          <w:sz w:val="32"/>
          <w:szCs w:val="32"/>
          <w:lang w:val="zh-CN"/>
        </w:rPr>
        <w:t>人员经费579.68万元，主要包括基本工资、津贴补贴、奖金、绩效工资、机关事业部门基本养老保险缴费、职工基本医疗保险缴费、公务员医疗补助缴费、住房公积金、医疗费、其他社会保障缴费、其他工资福利支出、奖励金、其他对</w:t>
      </w:r>
      <w:r>
        <w:rPr>
          <w:rFonts w:ascii="Times New Roman" w:hAnsi="Times New Roman" w:eastAsia="仿宋_GB2312"/>
          <w:color w:val="333333"/>
          <w:sz w:val="33"/>
          <w:szCs w:val="33"/>
          <w:shd w:val="clear" w:color="auto" w:fill="FFFFFF"/>
        </w:rPr>
        <w:t>个人和家庭</w:t>
      </w:r>
      <w:r>
        <w:rPr>
          <w:rFonts w:ascii="Times New Roman" w:hAnsi="Times New Roman" w:eastAsia="仿宋_GB2312"/>
          <w:kern w:val="2"/>
          <w:sz w:val="32"/>
          <w:szCs w:val="32"/>
          <w:lang w:val="zh-CN"/>
        </w:rPr>
        <w:t>的补助支出。</w:t>
      </w:r>
    </w:p>
    <w:p>
      <w:pPr>
        <w:pStyle w:val="11"/>
        <w:widowControl/>
        <w:spacing w:beforeAutospacing="0" w:afterAutospacing="0"/>
        <w:rPr>
          <w:rFonts w:ascii="Times New Roman" w:hAnsi="Times New Roman" w:eastAsia="仿宋_GB2312"/>
          <w:sz w:val="32"/>
          <w:szCs w:val="32"/>
          <w:highlight w:val="yellow"/>
        </w:rPr>
      </w:pPr>
      <w:r>
        <w:rPr>
          <w:rFonts w:ascii="Times New Roman" w:hAnsi="Times New Roman" w:eastAsia="仿宋_GB2312"/>
          <w:kern w:val="2"/>
          <w:sz w:val="32"/>
          <w:szCs w:val="32"/>
          <w:lang w:val="zh-CN"/>
        </w:rPr>
        <w:t>公用经费60.5</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万元，主要包括办公费、印刷费、咨询费、手续费、水费、电费、邮电费、取暖费、物业管理费、差旅费、维修（护）费、租赁费、培训费、委托业务费、工会经费、福利费、公务用车运行维护费、其他交通费用、其他商品和服务支出、办公设备购置、专用设备购置。</w:t>
      </w:r>
    </w:p>
    <w:p>
      <w:pPr>
        <w:pStyle w:val="11"/>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五、财政拨款“三公” 经费支出决算情况说明</w:t>
      </w:r>
    </w:p>
    <w:p>
      <w:pPr>
        <w:pStyle w:val="11"/>
        <w:widowControl/>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（一）“三公”经费财政拨款支出决算总体情况说明</w:t>
      </w:r>
    </w:p>
    <w:p>
      <w:pPr>
        <w:pStyle w:val="11"/>
        <w:widowControl/>
        <w:spacing w:beforeAutospacing="0" w:afterAutospacing="0"/>
        <w:ind w:firstLine="640" w:firstLineChars="20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t>本部门202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年度“三公”经费财政拨款支出预算为3.42万元，支出决算为0.98万元，完成预算的28.73%，较预算减少</w:t>
      </w:r>
      <w:r>
        <w:rPr>
          <w:rFonts w:hint="eastAsia" w:ascii="Times New Roman" w:hAnsi="Times New Roman" w:eastAsia="仿宋_GB2312"/>
          <w:kern w:val="2"/>
          <w:sz w:val="32"/>
          <w:szCs w:val="32"/>
          <w:lang w:val="zh-CN"/>
        </w:rPr>
        <w:t>2.44</w:t>
      </w:r>
      <w:r>
        <w:rPr>
          <w:rFonts w:ascii="Times New Roman" w:hAnsi="Times New Roman" w:eastAsia="仿宋_GB2312"/>
          <w:kern w:val="2"/>
          <w:sz w:val="32"/>
          <w:szCs w:val="32"/>
          <w:lang w:val="zh-CN"/>
        </w:rPr>
        <w:t>万元，降低</w:t>
      </w:r>
      <w:r>
        <w:rPr>
          <w:rFonts w:hint="eastAsia" w:ascii="Times New Roman" w:hAnsi="Times New Roman" w:eastAsia="仿宋_GB2312"/>
          <w:kern w:val="2"/>
          <w:sz w:val="32"/>
          <w:szCs w:val="32"/>
          <w:lang w:val="zh-CN"/>
        </w:rPr>
        <w:t>71.27</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val="zh-CN"/>
        </w:rPr>
        <w:t>加强三公经费管理，节约经费支出</w:t>
      </w:r>
      <w:r>
        <w:rPr>
          <w:rFonts w:ascii="Times New Roman" w:hAnsi="Times New Roman" w:eastAsia="仿宋_GB2312"/>
          <w:kern w:val="2"/>
          <w:sz w:val="32"/>
          <w:szCs w:val="32"/>
          <w:lang w:val="zh-CN"/>
        </w:rPr>
        <w:t>；较2022年度决算增加减少</w:t>
      </w:r>
      <w:r>
        <w:rPr>
          <w:rFonts w:hint="eastAsia" w:ascii="Times New Roman" w:hAnsi="Times New Roman" w:eastAsia="仿宋_GB2312"/>
          <w:kern w:val="2"/>
          <w:sz w:val="32"/>
          <w:szCs w:val="32"/>
          <w:lang w:val="zh-CN"/>
        </w:rPr>
        <w:t>0.92</w:t>
      </w:r>
      <w:r>
        <w:rPr>
          <w:rFonts w:ascii="Times New Roman" w:hAnsi="Times New Roman" w:eastAsia="仿宋_GB2312"/>
          <w:kern w:val="2"/>
          <w:sz w:val="32"/>
          <w:szCs w:val="32"/>
          <w:lang w:val="zh-CN"/>
        </w:rPr>
        <w:t>万元，降低</w:t>
      </w:r>
      <w:r>
        <w:rPr>
          <w:rFonts w:hint="eastAsia" w:ascii="Times New Roman" w:hAnsi="Times New Roman" w:eastAsia="仿宋_GB2312"/>
          <w:kern w:val="2"/>
          <w:sz w:val="32"/>
          <w:szCs w:val="32"/>
          <w:lang w:val="zh-CN"/>
        </w:rPr>
        <w:t>48.35</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val="zh-CN"/>
        </w:rPr>
        <w:t>三公经费管理，节约经费支出</w:t>
      </w:r>
      <w:r>
        <w:rPr>
          <w:rFonts w:ascii="Times New Roman" w:hAnsi="Times New Roman" w:eastAsia="仿宋_GB2312"/>
          <w:kern w:val="2"/>
          <w:sz w:val="32"/>
          <w:szCs w:val="32"/>
          <w:lang w:val="zh-CN"/>
        </w:rPr>
        <w:t>。</w:t>
      </w:r>
    </w:p>
    <w:p>
      <w:pPr>
        <w:adjustRightInd w:val="0"/>
        <w:snapToGrid w:val="0"/>
        <w:spacing w:line="580" w:lineRule="exact"/>
        <w:rPr>
          <w:rFonts w:ascii="Times New Roman" w:hAnsi="Times New Roman" w:eastAsia="楷体_GB2312" w:cs="Times New Roman"/>
          <w:b/>
          <w:bCs/>
          <w:kern w:val="2"/>
          <w:sz w:val="32"/>
          <w:szCs w:val="32"/>
        </w:rPr>
      </w:pPr>
      <w:r>
        <w:rPr>
          <w:rFonts w:ascii="Times New Roman" w:hAnsi="Times New Roman" w:eastAsia="楷体_GB2312" w:cs="Times New Roman"/>
          <w:b/>
          <w:bCs/>
          <w:kern w:val="2"/>
          <w:sz w:val="32"/>
          <w:szCs w:val="32"/>
        </w:rPr>
        <w:t>（二）“三公”经费财政拨款支出决算具体情况说明</w:t>
      </w:r>
    </w:p>
    <w:p>
      <w:pPr>
        <w:pStyle w:val="11"/>
        <w:widowControl/>
        <w:spacing w:beforeAutospacing="0" w:afterAutospacing="0"/>
        <w:ind w:firstLine="643" w:firstLineChars="200"/>
        <w:rPr>
          <w:rFonts w:ascii="Times New Roman" w:hAnsi="Times New Roman" w:eastAsia="仿宋_GB2312"/>
          <w:kern w:val="2"/>
          <w:sz w:val="32"/>
          <w:szCs w:val="32"/>
        </w:rPr>
      </w:pPr>
      <w:r>
        <w:rPr>
          <w:rFonts w:ascii="Times New Roman" w:hAnsi="Times New Roman" w:eastAsia="楷体_GB2312"/>
          <w:b/>
          <w:bCs/>
          <w:kern w:val="2"/>
          <w:sz w:val="32"/>
          <w:szCs w:val="32"/>
        </w:rPr>
        <w:t>1.因公出国（境）费支出情况。</w:t>
      </w:r>
      <w:r>
        <w:rPr>
          <w:rFonts w:ascii="Times New Roman" w:hAnsi="Times New Roman" w:eastAsia="仿宋_GB2312"/>
          <w:kern w:val="2"/>
          <w:sz w:val="32"/>
          <w:szCs w:val="32"/>
          <w:lang w:val="zh-CN"/>
        </w:rPr>
        <w:t>本部门</w:t>
      </w:r>
      <w:r>
        <w:rPr>
          <w:rFonts w:ascii="Times New Roman" w:hAnsi="Times New Roman" w:eastAsia="仿宋_GB2312"/>
          <w:kern w:val="2"/>
          <w:sz w:val="32"/>
          <w:szCs w:val="32"/>
        </w:rPr>
        <w:t>2023年度因公出国（境）费支出预算为0万元,支出决算0万元。完成预算的</w:t>
      </w:r>
      <w:r>
        <w:rPr>
          <w:rFonts w:hint="eastAsia" w:ascii="Times New Roman" w:hAnsi="Times New Roman" w:eastAsia="仿宋_GB2312"/>
          <w:kern w:val="2"/>
          <w:sz w:val="32"/>
          <w:szCs w:val="32"/>
        </w:rPr>
        <w:t>1</w:t>
      </w:r>
      <w:r>
        <w:rPr>
          <w:rFonts w:ascii="Times New Roman" w:hAnsi="Times New Roman" w:eastAsia="仿宋_GB2312"/>
          <w:kern w:val="2"/>
          <w:sz w:val="32"/>
          <w:szCs w:val="32"/>
        </w:rPr>
        <w:t>00</w:t>
      </w:r>
      <w:r>
        <w:rPr>
          <w:rFonts w:hint="eastAsia" w:ascii="Times New Roman" w:hAnsi="Times New Roman" w:eastAsia="仿宋_GB2312"/>
          <w:kern w:val="2"/>
          <w:sz w:val="32"/>
          <w:szCs w:val="32"/>
          <w:lang w:val="en-US" w:eastAsia="zh-CN"/>
        </w:rPr>
        <w:t>.00</w:t>
      </w:r>
      <w:r>
        <w:rPr>
          <w:rFonts w:hint="eastAsia" w:ascii="Times New Roman" w:hAnsi="Times New Roman" w:eastAsia="仿宋_GB2312"/>
          <w:kern w:val="2"/>
          <w:sz w:val="32"/>
          <w:szCs w:val="32"/>
        </w:rPr>
        <w:t>%</w:t>
      </w:r>
      <w:r>
        <w:rPr>
          <w:rFonts w:ascii="Times New Roman" w:hAnsi="Times New Roman" w:eastAsia="仿宋_GB2312"/>
          <w:kern w:val="2"/>
          <w:sz w:val="32"/>
          <w:szCs w:val="32"/>
        </w:rPr>
        <w:t>。</w:t>
      </w:r>
      <w:r>
        <w:rPr>
          <w:rFonts w:hint="eastAsia" w:ascii="Times New Roman" w:hAnsi="Times New Roman" w:eastAsia="仿宋_GB2312"/>
          <w:kern w:val="2"/>
          <w:sz w:val="32"/>
          <w:szCs w:val="32"/>
        </w:rPr>
        <w:t>与</w:t>
      </w:r>
      <w:r>
        <w:rPr>
          <w:rFonts w:ascii="Times New Roman" w:hAnsi="Times New Roman" w:eastAsia="仿宋_GB2312"/>
          <w:kern w:val="2"/>
          <w:sz w:val="32"/>
          <w:szCs w:val="32"/>
        </w:rPr>
        <w:t>预算</w:t>
      </w:r>
      <w:r>
        <w:rPr>
          <w:rFonts w:hint="eastAsia" w:ascii="Times New Roman" w:hAnsi="Times New Roman" w:eastAsia="仿宋_GB2312"/>
          <w:kern w:val="2"/>
          <w:sz w:val="32"/>
          <w:szCs w:val="32"/>
        </w:rPr>
        <w:t>持平</w:t>
      </w:r>
      <w:r>
        <w:rPr>
          <w:rFonts w:ascii="Times New Roman" w:hAnsi="Times New Roman" w:eastAsia="仿宋_GB2312"/>
          <w:kern w:val="2"/>
          <w:sz w:val="32"/>
          <w:szCs w:val="32"/>
        </w:rPr>
        <w:t>，增长</w:t>
      </w:r>
      <w:r>
        <w:rPr>
          <w:rFonts w:hint="eastAsia" w:ascii="Times New Roman" w:hAnsi="Times New Roman" w:eastAsia="仿宋_GB2312"/>
          <w:kern w:val="2"/>
          <w:sz w:val="32"/>
          <w:szCs w:val="32"/>
        </w:rPr>
        <w:t>0</w:t>
      </w:r>
      <w:r>
        <w:rPr>
          <w:rFonts w:ascii="Times New Roman" w:hAnsi="Times New Roman" w:eastAsia="仿宋_GB2312"/>
          <w:kern w:val="2"/>
          <w:sz w:val="32"/>
          <w:szCs w:val="32"/>
        </w:rPr>
        <w:t>%,主要是</w:t>
      </w:r>
      <w:r>
        <w:rPr>
          <w:rFonts w:hint="eastAsia" w:ascii="Times New Roman" w:hAnsi="Times New Roman" w:eastAsia="仿宋_GB2312"/>
          <w:kern w:val="2"/>
          <w:sz w:val="32"/>
          <w:szCs w:val="32"/>
        </w:rPr>
        <w:t>本年度未发生</w:t>
      </w:r>
      <w:r>
        <w:rPr>
          <w:rFonts w:ascii="Times New Roman" w:hAnsi="Times New Roman" w:eastAsia="仿宋_GB2312"/>
          <w:kern w:val="2"/>
          <w:sz w:val="32"/>
          <w:szCs w:val="32"/>
        </w:rPr>
        <w:t>因公出国（境）费</w:t>
      </w:r>
      <w:r>
        <w:rPr>
          <w:rFonts w:hint="eastAsia" w:ascii="Times New Roman" w:hAnsi="Times New Roman" w:eastAsia="仿宋_GB2312"/>
          <w:kern w:val="2"/>
          <w:sz w:val="32"/>
          <w:szCs w:val="32"/>
        </w:rPr>
        <w:t>事务</w:t>
      </w:r>
      <w:r>
        <w:rPr>
          <w:rFonts w:ascii="Times New Roman" w:hAnsi="Times New Roman" w:eastAsia="仿宋_GB2312"/>
          <w:kern w:val="2"/>
          <w:sz w:val="32"/>
          <w:szCs w:val="32"/>
        </w:rPr>
        <w:t>；较上年增加</w:t>
      </w:r>
      <w:r>
        <w:rPr>
          <w:rFonts w:hint="eastAsia" w:ascii="Times New Roman" w:hAnsi="Times New Roman" w:eastAsia="仿宋_GB2312"/>
          <w:kern w:val="2"/>
          <w:sz w:val="32"/>
          <w:szCs w:val="32"/>
        </w:rPr>
        <w:t>0</w:t>
      </w:r>
      <w:r>
        <w:rPr>
          <w:rFonts w:ascii="Times New Roman" w:hAnsi="Times New Roman" w:eastAsia="仿宋_GB2312"/>
          <w:kern w:val="2"/>
          <w:sz w:val="32"/>
          <w:szCs w:val="32"/>
        </w:rPr>
        <w:t>万元，增长</w:t>
      </w:r>
      <w:r>
        <w:rPr>
          <w:rFonts w:hint="eastAsia" w:ascii="Times New Roman" w:hAnsi="Times New Roman" w:eastAsia="仿宋_GB2312"/>
          <w:kern w:val="2"/>
          <w:sz w:val="32"/>
          <w:szCs w:val="32"/>
        </w:rPr>
        <w:t>0</w:t>
      </w:r>
      <w:r>
        <w:rPr>
          <w:rFonts w:ascii="Times New Roman" w:hAnsi="Times New Roman" w:eastAsia="仿宋_GB2312"/>
          <w:kern w:val="2"/>
          <w:sz w:val="32"/>
          <w:szCs w:val="32"/>
        </w:rPr>
        <w:t>%,主要是</w:t>
      </w:r>
      <w:r>
        <w:rPr>
          <w:rFonts w:hint="eastAsia" w:ascii="Times New Roman" w:hAnsi="Times New Roman" w:eastAsia="仿宋_GB2312"/>
          <w:kern w:val="2"/>
          <w:sz w:val="32"/>
          <w:szCs w:val="32"/>
        </w:rPr>
        <w:t>本年度未发生</w:t>
      </w:r>
      <w:r>
        <w:rPr>
          <w:rFonts w:ascii="Times New Roman" w:hAnsi="Times New Roman" w:eastAsia="仿宋_GB2312"/>
          <w:kern w:val="2"/>
          <w:sz w:val="32"/>
          <w:szCs w:val="32"/>
        </w:rPr>
        <w:t>因公出国（境）费</w:t>
      </w:r>
      <w:r>
        <w:rPr>
          <w:rFonts w:hint="eastAsia" w:ascii="Times New Roman" w:hAnsi="Times New Roman" w:eastAsia="仿宋_GB2312"/>
          <w:kern w:val="2"/>
          <w:sz w:val="32"/>
          <w:szCs w:val="32"/>
        </w:rPr>
        <w:t>事务</w:t>
      </w:r>
      <w:r>
        <w:rPr>
          <w:rFonts w:ascii="Times New Roman" w:hAnsi="Times New Roman" w:eastAsia="仿宋_GB2312"/>
          <w:kern w:val="2"/>
          <w:sz w:val="32"/>
          <w:szCs w:val="32"/>
        </w:rPr>
        <w:t>。因公出国（境）团组0个、共</w:t>
      </w:r>
      <w:r>
        <w:rPr>
          <w:rFonts w:hint="eastAsia" w:ascii="Times New Roman" w:hAnsi="Times New Roman" w:eastAsia="仿宋_GB2312"/>
          <w:kern w:val="2"/>
          <w:sz w:val="32"/>
          <w:szCs w:val="32"/>
        </w:rPr>
        <w:t>0</w:t>
      </w:r>
      <w:r>
        <w:rPr>
          <w:rFonts w:ascii="Times New Roman" w:hAnsi="Times New Roman" w:eastAsia="仿宋_GB2312"/>
          <w:kern w:val="2"/>
          <w:sz w:val="32"/>
          <w:szCs w:val="32"/>
        </w:rPr>
        <w:t>人、参加其他单位组织的因公出国（境）团组</w:t>
      </w:r>
      <w:r>
        <w:rPr>
          <w:rFonts w:hint="eastAsia" w:ascii="Times New Roman" w:hAnsi="Times New Roman" w:eastAsia="仿宋_GB2312"/>
          <w:kern w:val="2"/>
          <w:sz w:val="32"/>
          <w:szCs w:val="32"/>
        </w:rPr>
        <w:t>0</w:t>
      </w:r>
      <w:r>
        <w:rPr>
          <w:rFonts w:ascii="Times New Roman" w:hAnsi="Times New Roman" w:eastAsia="仿宋_GB2312"/>
          <w:kern w:val="2"/>
          <w:sz w:val="32"/>
          <w:szCs w:val="32"/>
        </w:rPr>
        <w:t>个、共</w:t>
      </w:r>
      <w:r>
        <w:rPr>
          <w:rFonts w:hint="eastAsia" w:ascii="Times New Roman" w:hAnsi="Times New Roman" w:eastAsia="仿宋_GB2312"/>
          <w:kern w:val="2"/>
          <w:sz w:val="32"/>
          <w:szCs w:val="32"/>
        </w:rPr>
        <w:t>0</w:t>
      </w:r>
      <w:r>
        <w:rPr>
          <w:rFonts w:ascii="Times New Roman" w:hAnsi="Times New Roman" w:eastAsia="仿宋_GB2312"/>
          <w:kern w:val="2"/>
          <w:sz w:val="32"/>
          <w:szCs w:val="32"/>
        </w:rPr>
        <w:t>人</w:t>
      </w:r>
      <w:r>
        <w:rPr>
          <w:rFonts w:hint="eastAsia" w:ascii="Times New Roman" w:hAnsi="Times New Roman" w:eastAsia="仿宋_GB2312"/>
          <w:kern w:val="2"/>
          <w:sz w:val="32"/>
          <w:szCs w:val="32"/>
        </w:rPr>
        <w:t>，</w:t>
      </w:r>
      <w:r>
        <w:rPr>
          <w:rFonts w:ascii="Times New Roman" w:hAnsi="Times New Roman" w:eastAsia="仿宋_GB2312"/>
          <w:kern w:val="2"/>
          <w:sz w:val="32"/>
          <w:szCs w:val="32"/>
        </w:rPr>
        <w:t>无本部门组织的出国（境）团组。</w:t>
      </w:r>
    </w:p>
    <w:p>
      <w:pPr>
        <w:adjustRightInd w:val="0"/>
        <w:snapToGrid w:val="0"/>
        <w:spacing w:line="580" w:lineRule="exact"/>
        <w:ind w:firstLine="643" w:firstLineChars="200"/>
        <w:jc w:val="left"/>
        <w:rPr>
          <w:rFonts w:ascii="Times New Roman" w:hAnsi="Times New Roman" w:eastAsia="仿宋_GB2312" w:cs="Times New Roman"/>
          <w:kern w:val="2"/>
          <w:sz w:val="32"/>
          <w:szCs w:val="32"/>
          <w:lang w:val="zh-CN"/>
        </w:rPr>
      </w:pPr>
      <w:r>
        <w:rPr>
          <w:rFonts w:ascii="Times New Roman" w:hAnsi="Times New Roman" w:eastAsia="楷体_GB2312" w:cs="Times New Roman"/>
          <w:b/>
          <w:bCs/>
          <w:kern w:val="2"/>
          <w:sz w:val="32"/>
          <w:szCs w:val="32"/>
        </w:rPr>
        <w:t>2.</w:t>
      </w:r>
      <w:r>
        <w:rPr>
          <w:rFonts w:ascii="Times New Roman" w:hAnsi="Times New Roman" w:eastAsia="楷体_GB2312" w:cs="Times New Roman"/>
          <w:b/>
          <w:bCs/>
          <w:sz w:val="32"/>
          <w:szCs w:val="32"/>
        </w:rPr>
        <w:t>公务用车购置及运行维护费支出情况。</w:t>
      </w:r>
      <w:r>
        <w:rPr>
          <w:rFonts w:ascii="Times New Roman" w:hAnsi="Times New Roman" w:eastAsia="仿宋_GB2312" w:cs="Times New Roman"/>
          <w:kern w:val="2"/>
          <w:sz w:val="32"/>
          <w:szCs w:val="32"/>
          <w:lang w:val="zh-CN"/>
        </w:rPr>
        <w:t>本部门202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年度公务用车购置及运行维护费预算为2.88万元，支出决算0.98万元，完成预算的34.12%,较预算减少</w:t>
      </w:r>
      <w:r>
        <w:rPr>
          <w:rFonts w:hint="eastAsia" w:ascii="Times New Roman" w:hAnsi="Times New Roman" w:eastAsia="仿宋_GB2312" w:cs="Times New Roman"/>
          <w:kern w:val="2"/>
          <w:sz w:val="32"/>
          <w:szCs w:val="32"/>
          <w:lang w:val="zh-CN"/>
        </w:rPr>
        <w:t>1.90</w:t>
      </w:r>
      <w:r>
        <w:rPr>
          <w:rFonts w:ascii="Times New Roman" w:hAnsi="Times New Roman" w:eastAsia="仿宋_GB2312" w:cs="Times New Roman"/>
          <w:kern w:val="2"/>
          <w:sz w:val="32"/>
          <w:szCs w:val="32"/>
          <w:lang w:val="zh-CN"/>
        </w:rPr>
        <w:t>万元，降低</w:t>
      </w:r>
      <w:r>
        <w:rPr>
          <w:rFonts w:hint="eastAsia" w:ascii="Times New Roman" w:hAnsi="Times New Roman" w:eastAsia="仿宋_GB2312" w:cs="Times New Roman"/>
          <w:kern w:val="2"/>
          <w:sz w:val="32"/>
          <w:szCs w:val="32"/>
          <w:lang w:val="zh-CN"/>
        </w:rPr>
        <w:t>65.88</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严格车辆管理，减少支出</w:t>
      </w:r>
      <w:r>
        <w:rPr>
          <w:rFonts w:ascii="Times New Roman" w:hAnsi="Times New Roman" w:eastAsia="仿宋_GB2312" w:cs="Times New Roman"/>
          <w:kern w:val="2"/>
          <w:sz w:val="32"/>
          <w:szCs w:val="32"/>
          <w:lang w:val="zh-CN"/>
        </w:rPr>
        <w:t>；较上年减少</w:t>
      </w:r>
      <w:r>
        <w:rPr>
          <w:rFonts w:hint="eastAsia" w:ascii="Times New Roman" w:hAnsi="Times New Roman" w:eastAsia="仿宋_GB2312" w:cs="Times New Roman"/>
          <w:kern w:val="2"/>
          <w:sz w:val="32"/>
          <w:szCs w:val="32"/>
          <w:lang w:val="zh-CN"/>
        </w:rPr>
        <w:t>0.92</w:t>
      </w:r>
      <w:r>
        <w:rPr>
          <w:rFonts w:ascii="Times New Roman" w:hAnsi="Times New Roman" w:eastAsia="仿宋_GB2312" w:cs="Times New Roman"/>
          <w:kern w:val="2"/>
          <w:sz w:val="32"/>
          <w:szCs w:val="32"/>
          <w:lang w:val="zh-CN"/>
        </w:rPr>
        <w:t>万元，降低</w:t>
      </w:r>
      <w:r>
        <w:rPr>
          <w:rFonts w:hint="eastAsia" w:ascii="Times New Roman" w:hAnsi="Times New Roman" w:eastAsia="仿宋_GB2312" w:cs="Times New Roman"/>
          <w:kern w:val="2"/>
          <w:sz w:val="32"/>
          <w:szCs w:val="32"/>
          <w:lang w:val="zh-CN"/>
        </w:rPr>
        <w:t>48.35</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严格车辆管理，减少支出</w:t>
      </w:r>
      <w:r>
        <w:rPr>
          <w:rFonts w:ascii="Times New Roman" w:hAnsi="Times New Roman" w:eastAsia="仿宋_GB2312" w:cs="Times New Roman"/>
          <w:kern w:val="2"/>
          <w:sz w:val="32"/>
          <w:szCs w:val="32"/>
          <w:lang w:val="zh-CN"/>
        </w:rPr>
        <w:t>。其中：</w:t>
      </w:r>
    </w:p>
    <w:p>
      <w:pPr>
        <w:adjustRightInd w:val="0"/>
        <w:snapToGrid w:val="0"/>
        <w:spacing w:line="580" w:lineRule="exact"/>
        <w:ind w:firstLine="643" w:firstLineChars="200"/>
        <w:rPr>
          <w:rFonts w:ascii="Times New Roman" w:hAnsi="Times New Roman" w:eastAsia="仿宋_GB2312" w:cs="Times New Roman"/>
          <w:kern w:val="2"/>
          <w:sz w:val="32"/>
          <w:szCs w:val="32"/>
          <w:lang w:val="zh-CN"/>
        </w:rPr>
      </w:pPr>
      <w:r>
        <w:rPr>
          <w:rFonts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rPr>
        <w:t>0</w:t>
      </w:r>
      <w:r>
        <w:rPr>
          <w:rFonts w:ascii="Times New Roman" w:hAnsi="Times New Roman" w:eastAsia="楷体_GB2312" w:cs="Times New Roman"/>
          <w:b/>
          <w:bCs/>
          <w:sz w:val="32"/>
          <w:szCs w:val="32"/>
        </w:rPr>
        <w:t>万元</w:t>
      </w:r>
      <w:r>
        <w:rPr>
          <w:rFonts w:ascii="Times New Roman" w:hAnsi="Times New Roman" w:eastAsia="仿宋_GB2312" w:cs="Times New Roman"/>
          <w:b/>
          <w:sz w:val="32"/>
          <w:szCs w:val="32"/>
        </w:rPr>
        <w:t>：</w:t>
      </w:r>
      <w:r>
        <w:rPr>
          <w:rFonts w:ascii="Times New Roman" w:hAnsi="Times New Roman" w:eastAsia="仿宋_GB2312" w:cs="Times New Roman"/>
          <w:kern w:val="2"/>
          <w:sz w:val="32"/>
          <w:szCs w:val="32"/>
          <w:lang w:val="zh-CN"/>
        </w:rPr>
        <w:t>本部门202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年度公务用车购置量0辆，发生“公务用车购置”经费支出0万元。公务用车购置费支出</w:t>
      </w:r>
      <w:r>
        <w:rPr>
          <w:rFonts w:hint="eastAsia" w:ascii="Times New Roman" w:hAnsi="Times New Roman" w:eastAsia="仿宋_GB2312" w:cs="Times New Roman"/>
          <w:kern w:val="2"/>
          <w:sz w:val="32"/>
          <w:szCs w:val="32"/>
          <w:lang w:val="zh-CN"/>
        </w:rPr>
        <w:t>与预算持平</w:t>
      </w:r>
      <w:r>
        <w:rPr>
          <w:rFonts w:ascii="Times New Roman" w:hAnsi="Times New Roman" w:eastAsia="仿宋_GB2312" w:cs="Times New Roman"/>
          <w:kern w:val="2"/>
          <w:sz w:val="32"/>
          <w:szCs w:val="32"/>
          <w:lang w:val="zh-CN"/>
        </w:rPr>
        <w:t>，增长</w:t>
      </w:r>
      <w:r>
        <w:rPr>
          <w:rFonts w:hint="eastAsia" w:ascii="Times New Roman" w:hAnsi="Times New Roman" w:eastAsia="仿宋_GB2312" w:cs="Times New Roman"/>
          <w:kern w:val="2"/>
          <w:sz w:val="32"/>
          <w:szCs w:val="32"/>
          <w:lang w:val="zh-CN"/>
        </w:rPr>
        <w:t>0</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本年度未公务用车购置经费支出</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与2022年度决算支出持平</w:t>
      </w:r>
      <w:r>
        <w:rPr>
          <w:rFonts w:ascii="Times New Roman" w:hAnsi="Times New Roman" w:eastAsia="仿宋_GB2312" w:cs="Times New Roman"/>
          <w:kern w:val="2"/>
          <w:sz w:val="32"/>
          <w:szCs w:val="32"/>
          <w:lang w:val="zh-CN"/>
        </w:rPr>
        <w:t>，增长</w:t>
      </w:r>
      <w:r>
        <w:rPr>
          <w:rFonts w:hint="eastAsia" w:ascii="Times New Roman" w:hAnsi="Times New Roman" w:eastAsia="仿宋_GB2312" w:cs="Times New Roman"/>
          <w:kern w:val="2"/>
          <w:sz w:val="32"/>
          <w:szCs w:val="32"/>
          <w:lang w:val="zh-CN"/>
        </w:rPr>
        <w:t>0</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本年度未公务用车购置经费支出</w:t>
      </w:r>
      <w:r>
        <w:rPr>
          <w:rFonts w:ascii="Times New Roman" w:hAnsi="Times New Roman" w:eastAsia="仿宋_GB2312" w:cs="Times New Roman"/>
          <w:kern w:val="2"/>
          <w:sz w:val="32"/>
          <w:szCs w:val="32"/>
          <w:lang w:val="zh-CN"/>
        </w:rPr>
        <w:t>。</w:t>
      </w:r>
    </w:p>
    <w:p>
      <w:pPr>
        <w:adjustRightInd w:val="0"/>
        <w:snapToGrid w:val="0"/>
        <w:spacing w:line="580" w:lineRule="exact"/>
        <w:ind w:firstLine="643"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rPr>
        <w:t>0.98</w:t>
      </w:r>
      <w:r>
        <w:rPr>
          <w:rFonts w:ascii="Times New Roman" w:hAnsi="Times New Roman" w:eastAsia="楷体_GB2312" w:cs="Times New Roman"/>
          <w:b/>
          <w:bCs/>
          <w:sz w:val="32"/>
          <w:szCs w:val="32"/>
        </w:rPr>
        <w:t>万元</w:t>
      </w:r>
      <w:r>
        <w:rPr>
          <w:rFonts w:ascii="Times New Roman" w:hAnsi="Times New Roman" w:eastAsia="仿宋_GB2312" w:cs="Times New Roman"/>
          <w:b/>
          <w:sz w:val="32"/>
          <w:szCs w:val="32"/>
        </w:rPr>
        <w:t>：</w:t>
      </w:r>
      <w:r>
        <w:rPr>
          <w:rFonts w:ascii="Times New Roman" w:hAnsi="Times New Roman" w:eastAsia="仿宋_GB2312" w:cs="Times New Roman"/>
          <w:kern w:val="2"/>
          <w:sz w:val="32"/>
          <w:szCs w:val="32"/>
          <w:lang w:val="zh-CN"/>
        </w:rPr>
        <w:t>本部门202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年度单位</w:t>
      </w:r>
      <w:r>
        <w:rPr>
          <w:rFonts w:hint="eastAsia" w:ascii="Times New Roman" w:hAnsi="Times New Roman" w:eastAsia="仿宋_GB2312" w:cs="Times New Roman"/>
          <w:kern w:val="2"/>
          <w:sz w:val="32"/>
          <w:szCs w:val="32"/>
          <w:lang w:val="zh-CN"/>
        </w:rPr>
        <w:t>财政开支</w:t>
      </w:r>
      <w:r>
        <w:rPr>
          <w:rFonts w:ascii="Times New Roman" w:hAnsi="Times New Roman" w:eastAsia="仿宋_GB2312" w:cs="Times New Roman"/>
          <w:kern w:val="2"/>
          <w:sz w:val="32"/>
          <w:szCs w:val="32"/>
          <w:lang w:val="zh-CN"/>
        </w:rPr>
        <w:t>公务用车保有量1辆，发生运行维护费支出0.98万元。公车运行维护费支出较预算减少</w:t>
      </w:r>
      <w:r>
        <w:rPr>
          <w:rFonts w:hint="eastAsia" w:ascii="Times New Roman" w:hAnsi="Times New Roman" w:eastAsia="仿宋_GB2312" w:cs="Times New Roman"/>
          <w:kern w:val="2"/>
          <w:sz w:val="32"/>
          <w:szCs w:val="32"/>
          <w:lang w:val="zh-CN"/>
        </w:rPr>
        <w:t>1.90</w:t>
      </w:r>
      <w:r>
        <w:rPr>
          <w:rFonts w:ascii="Times New Roman" w:hAnsi="Times New Roman" w:eastAsia="仿宋_GB2312" w:cs="Times New Roman"/>
          <w:kern w:val="2"/>
          <w:sz w:val="32"/>
          <w:szCs w:val="32"/>
          <w:lang w:val="zh-CN"/>
        </w:rPr>
        <w:t>万元，降低</w:t>
      </w:r>
      <w:r>
        <w:rPr>
          <w:rFonts w:hint="eastAsia" w:ascii="Times New Roman" w:hAnsi="Times New Roman" w:eastAsia="仿宋_GB2312" w:cs="Times New Roman"/>
          <w:kern w:val="2"/>
          <w:sz w:val="32"/>
          <w:szCs w:val="32"/>
          <w:lang w:val="zh-CN"/>
        </w:rPr>
        <w:t>65.88</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严格车辆管理，减少支出</w:t>
      </w:r>
      <w:r>
        <w:rPr>
          <w:rFonts w:ascii="Times New Roman" w:hAnsi="Times New Roman" w:eastAsia="仿宋_GB2312" w:cs="Times New Roman"/>
          <w:kern w:val="2"/>
          <w:sz w:val="32"/>
          <w:szCs w:val="32"/>
          <w:lang w:val="zh-CN"/>
        </w:rPr>
        <w:t>；较上年减少</w:t>
      </w:r>
      <w:r>
        <w:rPr>
          <w:rFonts w:hint="eastAsia" w:ascii="Times New Roman" w:hAnsi="Times New Roman" w:eastAsia="仿宋_GB2312" w:cs="Times New Roman"/>
          <w:kern w:val="2"/>
          <w:sz w:val="32"/>
          <w:szCs w:val="32"/>
          <w:lang w:val="zh-CN"/>
        </w:rPr>
        <w:t>0.92</w:t>
      </w:r>
      <w:r>
        <w:rPr>
          <w:rFonts w:ascii="Times New Roman" w:hAnsi="Times New Roman" w:eastAsia="仿宋_GB2312" w:cs="Times New Roman"/>
          <w:kern w:val="2"/>
          <w:sz w:val="32"/>
          <w:szCs w:val="32"/>
          <w:lang w:val="zh-CN"/>
        </w:rPr>
        <w:t>万元，降低</w:t>
      </w:r>
      <w:r>
        <w:rPr>
          <w:rFonts w:hint="eastAsia" w:ascii="Times New Roman" w:hAnsi="Times New Roman" w:eastAsia="仿宋_GB2312" w:cs="Times New Roman"/>
          <w:kern w:val="2"/>
          <w:sz w:val="32"/>
          <w:szCs w:val="32"/>
          <w:lang w:val="zh-CN"/>
        </w:rPr>
        <w:t>48.35</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严格车辆管理，减少支出</w:t>
      </w:r>
      <w:r>
        <w:rPr>
          <w:rFonts w:ascii="Times New Roman" w:hAnsi="Times New Roman" w:eastAsia="仿宋_GB2312" w:cs="Times New Roman"/>
          <w:kern w:val="2"/>
          <w:sz w:val="32"/>
          <w:szCs w:val="32"/>
          <w:lang w:val="zh-CN"/>
        </w:rPr>
        <w:t>。</w:t>
      </w:r>
    </w:p>
    <w:p>
      <w:pPr>
        <w:adjustRightInd w:val="0"/>
        <w:snapToGrid w:val="0"/>
        <w:spacing w:line="580" w:lineRule="exact"/>
        <w:ind w:firstLine="643" w:firstLineChars="200"/>
        <w:jc w:val="left"/>
        <w:rPr>
          <w:rFonts w:ascii="Times New Roman" w:hAnsi="Times New Roman" w:eastAsia="仿宋_GB2312" w:cs="Times New Roman"/>
          <w:kern w:val="2"/>
          <w:sz w:val="32"/>
          <w:szCs w:val="32"/>
          <w:lang w:val="zh-CN"/>
        </w:rPr>
      </w:pPr>
      <w:r>
        <w:rPr>
          <w:rFonts w:ascii="Times New Roman" w:hAnsi="Times New Roman" w:eastAsia="楷体_GB2312" w:cs="Times New Roman"/>
          <w:b/>
          <w:bCs/>
          <w:kern w:val="2"/>
          <w:sz w:val="32"/>
          <w:szCs w:val="32"/>
        </w:rPr>
        <w:t>3.公务接待费。</w:t>
      </w:r>
      <w:r>
        <w:rPr>
          <w:rFonts w:ascii="Times New Roman" w:hAnsi="Times New Roman" w:eastAsia="仿宋_GB2312" w:cs="Times New Roman"/>
          <w:kern w:val="2"/>
          <w:sz w:val="32"/>
          <w:szCs w:val="32"/>
          <w:lang w:val="zh-CN"/>
        </w:rPr>
        <w:t>本部门202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年度公务接待费支出预算为0.54万元，支出决算0万元，完成预算的</w:t>
      </w:r>
      <w:r>
        <w:rPr>
          <w:rFonts w:hint="eastAsia" w:ascii="Times New Roman" w:hAnsi="Times New Roman" w:eastAsia="仿宋_GB2312" w:cs="Times New Roman"/>
          <w:kern w:val="2"/>
          <w:sz w:val="32"/>
          <w:szCs w:val="32"/>
          <w:lang w:val="zh-CN"/>
        </w:rPr>
        <w:t>10</w:t>
      </w:r>
      <w:r>
        <w:rPr>
          <w:rFonts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en-US" w:eastAsia="zh-CN"/>
        </w:rPr>
        <w:t>.00</w:t>
      </w:r>
      <w:r>
        <w:rPr>
          <w:rFonts w:ascii="Times New Roman" w:hAnsi="Times New Roman" w:eastAsia="仿宋_GB2312" w:cs="Times New Roman"/>
          <w:kern w:val="2"/>
          <w:sz w:val="32"/>
          <w:szCs w:val="32"/>
          <w:lang w:val="zh-CN"/>
        </w:rPr>
        <w:t>%。公务接待费支出较预算减少</w:t>
      </w:r>
      <w:r>
        <w:rPr>
          <w:rFonts w:hint="eastAsia" w:ascii="Times New Roman" w:hAnsi="Times New Roman" w:eastAsia="仿宋_GB2312" w:cs="Times New Roman"/>
          <w:kern w:val="2"/>
          <w:sz w:val="32"/>
          <w:szCs w:val="32"/>
          <w:lang w:val="zh-CN"/>
        </w:rPr>
        <w:t>0.54</w:t>
      </w:r>
      <w:r>
        <w:rPr>
          <w:rFonts w:ascii="Times New Roman" w:hAnsi="Times New Roman" w:eastAsia="仿宋_GB2312" w:cs="Times New Roman"/>
          <w:kern w:val="2"/>
          <w:sz w:val="32"/>
          <w:szCs w:val="32"/>
          <w:lang w:val="zh-CN"/>
        </w:rPr>
        <w:t>万元，降低</w:t>
      </w:r>
      <w:r>
        <w:rPr>
          <w:rFonts w:hint="eastAsia" w:ascii="Times New Roman" w:hAnsi="Times New Roman" w:eastAsia="仿宋_GB2312" w:cs="Times New Roman"/>
          <w:kern w:val="2"/>
          <w:sz w:val="32"/>
          <w:szCs w:val="32"/>
          <w:lang w:val="zh-CN"/>
        </w:rPr>
        <w:t>100</w:t>
      </w:r>
      <w:r>
        <w:rPr>
          <w:rFonts w:hint="eastAsia" w:ascii="Times New Roman" w:hAnsi="Times New Roman" w:eastAsia="仿宋_GB2312" w:cs="Times New Roman"/>
          <w:kern w:val="2"/>
          <w:sz w:val="32"/>
          <w:szCs w:val="32"/>
          <w:lang w:val="en-US" w:eastAsia="zh-CN"/>
        </w:rPr>
        <w:t>.00</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本年度无公务接待费用支出</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与2022年度决算支出持平</w:t>
      </w:r>
      <w:r>
        <w:rPr>
          <w:rFonts w:ascii="Times New Roman" w:hAnsi="Times New Roman" w:eastAsia="仿宋_GB2312" w:cs="Times New Roman"/>
          <w:kern w:val="2"/>
          <w:sz w:val="32"/>
          <w:szCs w:val="32"/>
          <w:lang w:val="zh-CN"/>
        </w:rPr>
        <w:t>，增长</w:t>
      </w:r>
      <w:r>
        <w:rPr>
          <w:rFonts w:hint="eastAsia" w:ascii="Times New Roman" w:hAnsi="Times New Roman" w:eastAsia="仿宋_GB2312" w:cs="Times New Roman"/>
          <w:kern w:val="2"/>
          <w:sz w:val="32"/>
          <w:szCs w:val="32"/>
          <w:lang w:val="zh-CN"/>
        </w:rPr>
        <w:t>0</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本年度无公务接待费用支出</w:t>
      </w:r>
      <w:r>
        <w:rPr>
          <w:rFonts w:ascii="Times New Roman" w:hAnsi="Times New Roman" w:eastAsia="仿宋_GB2312" w:cs="Times New Roman"/>
          <w:kern w:val="2"/>
          <w:sz w:val="32"/>
          <w:szCs w:val="32"/>
          <w:lang w:val="zh-CN"/>
        </w:rPr>
        <w:t>。本年度共发生公务接待</w:t>
      </w:r>
      <w:r>
        <w:rPr>
          <w:rFonts w:hint="eastAsia" w:ascii="Times New Roman" w:hAnsi="Times New Roman" w:eastAsia="仿宋_GB2312" w:cs="Times New Roman"/>
          <w:kern w:val="2"/>
          <w:sz w:val="32"/>
          <w:szCs w:val="32"/>
          <w:lang w:val="zh-CN"/>
        </w:rPr>
        <w:t>0</w:t>
      </w:r>
      <w:r>
        <w:rPr>
          <w:rFonts w:ascii="Times New Roman" w:hAnsi="Times New Roman" w:eastAsia="仿宋_GB2312" w:cs="Times New Roman"/>
          <w:kern w:val="2"/>
          <w:sz w:val="32"/>
          <w:szCs w:val="32"/>
          <w:lang w:val="zh-CN"/>
        </w:rPr>
        <w:t>批次、</w:t>
      </w:r>
      <w:r>
        <w:rPr>
          <w:rFonts w:hint="eastAsia" w:ascii="Times New Roman" w:hAnsi="Times New Roman" w:eastAsia="仿宋_GB2312" w:cs="Times New Roman"/>
          <w:kern w:val="2"/>
          <w:sz w:val="32"/>
          <w:szCs w:val="32"/>
          <w:lang w:val="zh-CN"/>
        </w:rPr>
        <w:t>0</w:t>
      </w:r>
      <w:r>
        <w:rPr>
          <w:rFonts w:ascii="Times New Roman" w:hAnsi="Times New Roman" w:eastAsia="仿宋_GB2312" w:cs="Times New Roman"/>
          <w:kern w:val="2"/>
          <w:sz w:val="32"/>
          <w:szCs w:val="32"/>
          <w:lang w:val="zh-CN"/>
        </w:rPr>
        <w:t>人次。</w:t>
      </w:r>
    </w:p>
    <w:p>
      <w:pPr>
        <w:pStyle w:val="11"/>
        <w:widowControl/>
        <w:spacing w:beforeAutospacing="0" w:afterAutospacing="0"/>
        <w:jc w:val="both"/>
        <w:outlineLvl w:val="1"/>
        <w:rPr>
          <w:rFonts w:ascii="Times New Roman" w:hAnsi="Times New Roman" w:eastAsia="黑体"/>
          <w:color w:val="333333"/>
          <w:sz w:val="33"/>
          <w:szCs w:val="33"/>
          <w:shd w:val="clear" w:color="auto" w:fill="FFFFFF"/>
        </w:rPr>
      </w:pPr>
      <w:r>
        <w:rPr>
          <w:rFonts w:ascii="Times New Roman" w:hAnsi="Times New Roman" w:eastAsia="黑体"/>
          <w:color w:val="333333"/>
          <w:sz w:val="33"/>
          <w:szCs w:val="33"/>
          <w:shd w:val="clear" w:color="auto" w:fill="FFFFFF"/>
        </w:rPr>
        <w:t>六、</w:t>
      </w:r>
      <w:r>
        <w:rPr>
          <w:rFonts w:ascii="Times New Roman" w:hAnsi="Times New Roman" w:eastAsia="黑体"/>
          <w:sz w:val="32"/>
          <w:szCs w:val="32"/>
        </w:rPr>
        <w:t>机关运行经费支出说明</w:t>
      </w:r>
    </w:p>
    <w:p>
      <w:pPr>
        <w:pStyle w:val="11"/>
        <w:keepNext w:val="0"/>
        <w:keepLines w:val="0"/>
        <w:pageBreakBefore w:val="0"/>
        <w:widowControl/>
        <w:kinsoku/>
        <w:wordWrap/>
        <w:overflowPunct/>
        <w:topLinePunct w:val="0"/>
        <w:autoSpaceDE/>
        <w:autoSpaceDN/>
        <w:bidi w:val="0"/>
        <w:adjustRightInd/>
        <w:snapToGrid/>
        <w:spacing w:beforeAutospacing="0" w:afterAutospacing="0"/>
        <w:ind w:firstLine="640" w:firstLineChars="200"/>
        <w:jc w:val="both"/>
        <w:textAlignment w:val="auto"/>
        <w:rPr>
          <w:rFonts w:ascii="Times New Roman" w:hAnsi="Times New Roman" w:eastAsia="仿宋_GB2312"/>
          <w:sz w:val="32"/>
          <w:szCs w:val="32"/>
          <w:highlight w:val="yellow"/>
        </w:rPr>
      </w:pPr>
      <w:r>
        <w:rPr>
          <w:rFonts w:ascii="Times New Roman" w:hAnsi="Times New Roman" w:eastAsia="仿宋_GB2312"/>
          <w:kern w:val="2"/>
          <w:sz w:val="32"/>
          <w:szCs w:val="32"/>
          <w:lang w:val="zh-CN"/>
        </w:rPr>
        <w:t>本部门202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年度机关运行经费支出58.81万元，较2022年度减少</w:t>
      </w:r>
      <w:r>
        <w:rPr>
          <w:rFonts w:hint="eastAsia" w:ascii="Times New Roman" w:hAnsi="Times New Roman" w:eastAsia="仿宋_GB2312"/>
          <w:kern w:val="2"/>
          <w:sz w:val="32"/>
          <w:szCs w:val="32"/>
          <w:lang w:val="zh-CN"/>
        </w:rPr>
        <w:t>194.87</w:t>
      </w:r>
      <w:r>
        <w:rPr>
          <w:rFonts w:ascii="Times New Roman" w:hAnsi="Times New Roman" w:eastAsia="仿宋_GB2312"/>
          <w:kern w:val="2"/>
          <w:sz w:val="32"/>
          <w:szCs w:val="32"/>
          <w:lang w:val="zh-CN"/>
        </w:rPr>
        <w:t>万元，降低</w:t>
      </w:r>
      <w:r>
        <w:rPr>
          <w:rFonts w:hint="eastAsia" w:ascii="Times New Roman" w:hAnsi="Times New Roman" w:eastAsia="仿宋_GB2312"/>
          <w:kern w:val="2"/>
          <w:sz w:val="32"/>
          <w:szCs w:val="32"/>
          <w:lang w:val="zh-CN"/>
        </w:rPr>
        <w:t>76.82</w:t>
      </w:r>
      <w:r>
        <w:rPr>
          <w:rFonts w:ascii="Times New Roman" w:hAnsi="Times New Roman" w:eastAsia="仿宋_GB2312"/>
          <w:kern w:val="2"/>
          <w:sz w:val="32"/>
          <w:szCs w:val="32"/>
          <w:lang w:val="zh-CN"/>
        </w:rPr>
        <w:t>%。主要原因是</w:t>
      </w:r>
      <w:r>
        <w:rPr>
          <w:rFonts w:hint="eastAsia" w:ascii="Times New Roman" w:hAnsi="Times New Roman" w:eastAsia="仿宋_GB2312"/>
          <w:kern w:val="2"/>
          <w:sz w:val="32"/>
          <w:szCs w:val="32"/>
          <w:lang w:val="zh-CN"/>
        </w:rPr>
        <w:t>2022年度的办公用房租赁费用在机关运行经费中体现，因此2022年金额较多</w:t>
      </w:r>
      <w:r>
        <w:rPr>
          <w:rFonts w:ascii="Times New Roman" w:hAnsi="Times New Roman" w:eastAsia="仿宋_GB2312"/>
          <w:kern w:val="2"/>
          <w:sz w:val="32"/>
          <w:szCs w:val="32"/>
          <w:lang w:val="zh-CN"/>
        </w:rPr>
        <w:t>。</w:t>
      </w:r>
    </w:p>
    <w:p>
      <w:pPr>
        <w:adjustRightInd w:val="0"/>
        <w:snapToGrid w:val="0"/>
        <w:spacing w:line="580" w:lineRule="exact"/>
        <w:ind w:firstLine="660" w:firstLineChars="200"/>
        <w:rPr>
          <w:rFonts w:ascii="Times New Roman" w:hAnsi="Times New Roman" w:eastAsia="仿宋_GB2312" w:cs="Times New Roman"/>
          <w:sz w:val="32"/>
          <w:szCs w:val="32"/>
          <w:highlight w:val="yellow"/>
        </w:rPr>
      </w:pPr>
      <w:r>
        <w:rPr>
          <w:rFonts w:ascii="Times New Roman" w:hAnsi="Times New Roman" w:eastAsia="黑体" w:cs="Times New Roman"/>
          <w:color w:val="333333"/>
          <w:sz w:val="33"/>
          <w:szCs w:val="33"/>
          <w:shd w:val="clear" w:color="auto" w:fill="FFFFFF"/>
        </w:rPr>
        <w:t>七、</w:t>
      </w:r>
      <w:r>
        <w:rPr>
          <w:rFonts w:ascii="Times New Roman" w:hAnsi="Times New Roman" w:eastAsia="黑体" w:cs="Times New Roman"/>
          <w:sz w:val="32"/>
          <w:szCs w:val="32"/>
        </w:rPr>
        <w:t>政府采购支出说明</w:t>
      </w:r>
    </w:p>
    <w:p>
      <w:pPr>
        <w:pStyle w:val="11"/>
        <w:widowControl/>
        <w:spacing w:beforeAutospacing="0" w:afterAutospacing="0"/>
        <w:rPr>
          <w:rFonts w:ascii="Times New Roman" w:hAnsi="Times New Roman" w:eastAsia="仿宋_GB2312"/>
          <w:sz w:val="32"/>
          <w:szCs w:val="32"/>
          <w:highlight w:val="yellow"/>
        </w:rPr>
      </w:pPr>
      <w:r>
        <w:rPr>
          <w:rFonts w:ascii="Times New Roman" w:hAnsi="Times New Roman" w:eastAsia="仿宋_GB2312"/>
          <w:kern w:val="2"/>
          <w:sz w:val="32"/>
          <w:szCs w:val="32"/>
          <w:lang w:val="zh-CN"/>
        </w:rPr>
        <w:t>本部门202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年度政府采购支出总额282.84万元，从采购类型来看，政府采购货物支出0.71万元、政府采购工程支出0万元、政府采购服务支出282.14万元。授予中小企业</w:t>
      </w:r>
      <w:r>
        <w:rPr>
          <w:rFonts w:ascii="Times New Roman" w:hAnsi="Times New Roman" w:eastAsia="仿宋_GB2312"/>
          <w:kern w:val="2"/>
          <w:sz w:val="32"/>
          <w:szCs w:val="32"/>
        </w:rPr>
        <w:t>合同金额</w:t>
      </w:r>
      <w:r>
        <w:rPr>
          <w:rFonts w:ascii="Times New Roman" w:hAnsi="Times New Roman" w:eastAsia="仿宋_GB2312"/>
          <w:kern w:val="2"/>
          <w:sz w:val="32"/>
          <w:szCs w:val="32"/>
          <w:lang w:val="zh-CN"/>
        </w:rPr>
        <w:t>182.84万元，占政府采购支出总额的64.64%，其中授予小微企业合同金额40.27万元，占政府采购支出总额的14.24%。</w:t>
      </w:r>
    </w:p>
    <w:p>
      <w:pPr>
        <w:snapToGrid w:val="0"/>
        <w:spacing w:line="580" w:lineRule="exact"/>
        <w:ind w:firstLine="660" w:firstLineChars="200"/>
        <w:jc w:val="left"/>
        <w:rPr>
          <w:rFonts w:ascii="Times New Roman" w:hAnsi="Times New Roman" w:eastAsia="仿宋_GB2312" w:cs="Times New Roman"/>
          <w:sz w:val="32"/>
          <w:szCs w:val="32"/>
          <w:highlight w:val="yellow"/>
        </w:rPr>
      </w:pPr>
      <w:r>
        <w:rPr>
          <w:rFonts w:ascii="Times New Roman" w:hAnsi="Times New Roman" w:eastAsia="黑体" w:cs="Times New Roman"/>
          <w:color w:val="333333"/>
          <w:sz w:val="33"/>
          <w:szCs w:val="33"/>
          <w:shd w:val="clear" w:color="auto" w:fill="FFFFFF"/>
        </w:rPr>
        <w:t>八、</w:t>
      </w:r>
      <w:r>
        <w:rPr>
          <w:rFonts w:ascii="Times New Roman" w:hAnsi="Times New Roman" w:eastAsia="黑体" w:cs="Times New Roman"/>
          <w:sz w:val="32"/>
          <w:szCs w:val="32"/>
        </w:rPr>
        <w:t>国有资产占用情况说明</w:t>
      </w:r>
    </w:p>
    <w:p>
      <w:pPr>
        <w:pStyle w:val="11"/>
        <w:widowControl/>
        <w:spacing w:beforeAutospacing="0" w:afterAutospacing="0"/>
        <w:ind w:firstLine="640" w:firstLineChars="20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t>截至202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年12月31日，本部门共有车辆1辆，</w:t>
      </w:r>
      <w:r>
        <w:rPr>
          <w:rFonts w:hint="eastAsia" w:ascii="Times New Roman" w:hAnsi="Times New Roman" w:eastAsia="仿宋_GB2312"/>
          <w:kern w:val="2"/>
          <w:sz w:val="32"/>
          <w:szCs w:val="32"/>
          <w:lang w:val="zh-CN"/>
        </w:rPr>
        <w:t>与</w:t>
      </w:r>
      <w:r>
        <w:rPr>
          <w:rFonts w:ascii="Times New Roman" w:hAnsi="Times New Roman" w:eastAsia="仿宋_GB2312"/>
          <w:kern w:val="2"/>
          <w:sz w:val="32"/>
          <w:szCs w:val="32"/>
          <w:lang w:val="zh-CN"/>
        </w:rPr>
        <w:t>上年</w:t>
      </w:r>
      <w:r>
        <w:rPr>
          <w:rFonts w:hint="eastAsia" w:ascii="Times New Roman" w:hAnsi="Times New Roman" w:eastAsia="仿宋_GB2312"/>
          <w:kern w:val="2"/>
          <w:sz w:val="32"/>
          <w:szCs w:val="32"/>
          <w:lang w:val="zh-CN"/>
        </w:rPr>
        <w:t>持平</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val="zh-CN"/>
        </w:rPr>
        <w:t>本年度未购置公务用车</w:t>
      </w:r>
      <w:r>
        <w:rPr>
          <w:rFonts w:ascii="Times New Roman" w:hAnsi="Times New Roman" w:eastAsia="仿宋_GB2312"/>
          <w:kern w:val="2"/>
          <w:sz w:val="32"/>
          <w:szCs w:val="32"/>
          <w:lang w:val="zh-CN"/>
        </w:rPr>
        <w:t>。其中，副部（省）级及以上领导用车辆，主要</w:t>
      </w:r>
      <w:r>
        <w:rPr>
          <w:rFonts w:ascii="Times New Roman" w:hAnsi="Times New Roman" w:eastAsia="仿宋_GB2312"/>
          <w:kern w:val="2"/>
          <w:sz w:val="32"/>
          <w:szCs w:val="32"/>
        </w:rPr>
        <w:t>负责人</w:t>
      </w:r>
      <w:r>
        <w:rPr>
          <w:rFonts w:ascii="Times New Roman" w:hAnsi="Times New Roman" w:eastAsia="仿宋_GB2312"/>
          <w:kern w:val="2"/>
          <w:sz w:val="32"/>
          <w:szCs w:val="32"/>
          <w:lang w:val="zh-CN"/>
        </w:rPr>
        <w:t>用车0辆，机要通信用车0辆，应急保障用车1辆，执法执勤用车0辆，特种专业技术用车0辆，离退休干部用车0辆，其他用车0辆。单位价值100万元（含）以上设备（不含车辆）0台（套）。</w:t>
      </w:r>
    </w:p>
    <w:p>
      <w:pPr>
        <w:pStyle w:val="11"/>
        <w:widowControl/>
        <w:spacing w:beforeAutospacing="0" w:afterAutospacing="0"/>
        <w:ind w:firstLine="640" w:firstLineChars="200"/>
        <w:jc w:val="both"/>
        <w:outlineLvl w:val="1"/>
        <w:rPr>
          <w:rFonts w:ascii="Times New Roman" w:hAnsi="Times New Roman" w:eastAsia="黑体"/>
          <w:kern w:val="2"/>
          <w:sz w:val="32"/>
          <w:szCs w:val="40"/>
        </w:rPr>
      </w:pPr>
      <w:r>
        <w:rPr>
          <w:rFonts w:ascii="Times New Roman" w:hAnsi="Times New Roman" w:eastAsia="黑体"/>
          <w:kern w:val="2"/>
          <w:sz w:val="32"/>
          <w:szCs w:val="40"/>
        </w:rPr>
        <w:t>九、预算绩效情况说明</w:t>
      </w:r>
    </w:p>
    <w:p>
      <w:pPr>
        <w:adjustRightInd w:val="0"/>
        <w:snapToGrid w:val="0"/>
        <w:spacing w:line="58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（一）预算绩效管理工作开展情况</w:t>
      </w:r>
    </w:p>
    <w:p>
      <w:pPr>
        <w:pStyle w:val="11"/>
        <w:widowControl/>
        <w:spacing w:beforeAutospacing="0" w:afterAutospacing="0"/>
        <w:ind w:firstLine="640" w:firstLineChars="20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t>根据预算绩效管理要求，本部门组织对2023年度一般公共预算项目支出全面开展绩效自评，</w:t>
      </w:r>
      <w:r>
        <w:rPr>
          <w:rFonts w:hint="eastAsia" w:ascii="Times New Roman" w:hAnsi="Times New Roman" w:eastAsia="仿宋_GB2312"/>
          <w:kern w:val="2"/>
          <w:sz w:val="32"/>
          <w:szCs w:val="32"/>
          <w:lang w:val="zh-CN"/>
        </w:rPr>
        <w:t>共11</w:t>
      </w:r>
      <w:r>
        <w:rPr>
          <w:rFonts w:ascii="Times New Roman" w:hAnsi="Times New Roman" w:eastAsia="仿宋_GB2312"/>
          <w:kern w:val="2"/>
          <w:sz w:val="32"/>
          <w:szCs w:val="32"/>
          <w:lang w:val="zh-CN"/>
        </w:rPr>
        <w:t>个</w:t>
      </w:r>
      <w:r>
        <w:rPr>
          <w:rFonts w:hint="eastAsia" w:ascii="Times New Roman" w:hAnsi="Times New Roman" w:eastAsia="仿宋_GB2312"/>
          <w:kern w:val="2"/>
          <w:sz w:val="32"/>
          <w:szCs w:val="32"/>
          <w:lang w:val="zh-CN"/>
        </w:rPr>
        <w:t>项目</w:t>
      </w:r>
      <w:r>
        <w:rPr>
          <w:rFonts w:ascii="Times New Roman" w:hAnsi="Times New Roman" w:eastAsia="仿宋_GB2312"/>
          <w:kern w:val="2"/>
          <w:sz w:val="32"/>
          <w:szCs w:val="32"/>
          <w:lang w:val="zh-CN"/>
        </w:rPr>
        <w:t>，涉及资金</w:t>
      </w:r>
      <w:r>
        <w:rPr>
          <w:rFonts w:hint="eastAsia" w:ascii="Times New Roman" w:hAnsi="Times New Roman" w:eastAsia="仿宋_GB2312"/>
          <w:kern w:val="2"/>
          <w:sz w:val="32"/>
          <w:szCs w:val="32"/>
          <w:lang w:val="zh-CN"/>
        </w:rPr>
        <w:t>485.80</w:t>
      </w:r>
      <w:r>
        <w:rPr>
          <w:rFonts w:ascii="Times New Roman" w:hAnsi="Times New Roman" w:eastAsia="仿宋_GB2312"/>
          <w:kern w:val="2"/>
          <w:sz w:val="32"/>
          <w:szCs w:val="32"/>
          <w:lang w:val="zh-CN"/>
        </w:rPr>
        <w:t>万元，占一般公共预算项目支出总额的</w:t>
      </w:r>
      <w:r>
        <w:rPr>
          <w:rFonts w:hint="eastAsia" w:ascii="Times New Roman" w:hAnsi="Times New Roman" w:eastAsia="仿宋_GB2312"/>
          <w:kern w:val="2"/>
          <w:sz w:val="32"/>
          <w:szCs w:val="32"/>
          <w:lang w:val="zh-CN"/>
        </w:rPr>
        <w:t>100</w:t>
      </w:r>
      <w:r>
        <w:rPr>
          <w:rFonts w:hint="eastAsia" w:ascii="Times New Roman" w:hAnsi="Times New Roman" w:eastAsia="仿宋_GB2312"/>
          <w:kern w:val="2"/>
          <w:sz w:val="32"/>
          <w:szCs w:val="32"/>
          <w:lang w:val="en-US" w:eastAsia="zh-CN"/>
        </w:rPr>
        <w:t>.00</w:t>
      </w:r>
      <w:r>
        <w:rPr>
          <w:rFonts w:ascii="Times New Roman" w:hAnsi="Times New Roman" w:eastAsia="仿宋_GB2312"/>
          <w:kern w:val="2"/>
          <w:sz w:val="32"/>
          <w:szCs w:val="32"/>
          <w:lang w:val="zh-CN"/>
        </w:rPr>
        <w:t>%。</w:t>
      </w:r>
      <w:r>
        <w:rPr>
          <w:rFonts w:hint="eastAsia" w:ascii="Times New Roman" w:hAnsi="Times New Roman" w:eastAsia="仿宋_GB2312"/>
          <w:kern w:val="2"/>
          <w:sz w:val="32"/>
          <w:szCs w:val="32"/>
          <w:lang w:val="zh-CN"/>
        </w:rPr>
        <w:t>无</w:t>
      </w:r>
      <w:r>
        <w:rPr>
          <w:rFonts w:ascii="Times New Roman" w:hAnsi="Times New Roman" w:eastAsia="仿宋_GB2312"/>
          <w:kern w:val="2"/>
          <w:sz w:val="32"/>
          <w:szCs w:val="32"/>
          <w:lang w:val="zh-CN"/>
        </w:rPr>
        <w:t>政府性基金预算项目。</w:t>
      </w:r>
      <w:r>
        <w:rPr>
          <w:rFonts w:hint="eastAsia" w:ascii="Times New Roman" w:hAnsi="Times New Roman" w:eastAsia="仿宋_GB2312"/>
          <w:kern w:val="2"/>
          <w:sz w:val="32"/>
          <w:szCs w:val="32"/>
          <w:lang w:val="zh-CN"/>
        </w:rPr>
        <w:t>无</w:t>
      </w:r>
      <w:r>
        <w:rPr>
          <w:rFonts w:ascii="Times New Roman" w:hAnsi="Times New Roman" w:eastAsia="仿宋_GB2312"/>
          <w:kern w:val="2"/>
          <w:sz w:val="32"/>
          <w:szCs w:val="32"/>
          <w:lang w:val="zh-CN"/>
        </w:rPr>
        <w:t>国有资本经营预算项目。</w:t>
      </w:r>
    </w:p>
    <w:p>
      <w:pPr>
        <w:pStyle w:val="11"/>
        <w:widowControl/>
        <w:spacing w:beforeAutospacing="0" w:afterAutospacing="0"/>
        <w:ind w:firstLine="640" w:firstLineChars="200"/>
        <w:rPr>
          <w:rFonts w:ascii="Times New Roman" w:hAnsi="Times New Roman" w:eastAsia="Arial"/>
        </w:rPr>
      </w:pPr>
      <w:r>
        <w:rPr>
          <w:rFonts w:ascii="Times New Roman" w:hAnsi="Times New Roman" w:eastAsia="仿宋_GB2312"/>
          <w:kern w:val="2"/>
          <w:sz w:val="32"/>
          <w:szCs w:val="32"/>
          <w:lang w:val="zh-CN"/>
        </w:rPr>
        <w:t>组织对“</w:t>
      </w:r>
      <w:r>
        <w:rPr>
          <w:rFonts w:hint="eastAsia" w:ascii="Times New Roman" w:hAnsi="Times New Roman" w:eastAsia="仿宋_GB2312"/>
          <w:kern w:val="2"/>
          <w:sz w:val="32"/>
          <w:szCs w:val="32"/>
          <w:lang w:val="zh-CN"/>
        </w:rPr>
        <w:t>办公用房租赁费</w:t>
      </w:r>
      <w:r>
        <w:rPr>
          <w:rFonts w:ascii="Times New Roman" w:hAnsi="Times New Roman" w:eastAsia="仿宋_GB2312"/>
          <w:kern w:val="2"/>
          <w:sz w:val="32"/>
          <w:szCs w:val="32"/>
          <w:lang w:val="zh-CN"/>
        </w:rPr>
        <w:t>”“</w:t>
      </w:r>
      <w:r>
        <w:rPr>
          <w:rFonts w:hint="eastAsia" w:ascii="Times New Roman" w:hAnsi="Times New Roman" w:eastAsia="仿宋_GB2312"/>
          <w:kern w:val="2"/>
          <w:sz w:val="32"/>
          <w:szCs w:val="32"/>
          <w:lang w:val="zh-CN"/>
        </w:rPr>
        <w:t>物业费</w:t>
      </w:r>
      <w:r>
        <w:rPr>
          <w:rFonts w:ascii="Times New Roman" w:hAnsi="Times New Roman" w:eastAsia="仿宋_GB2312"/>
          <w:kern w:val="2"/>
          <w:sz w:val="32"/>
          <w:szCs w:val="32"/>
          <w:lang w:val="zh-CN"/>
        </w:rPr>
        <w:t>”</w:t>
      </w:r>
      <w:r>
        <w:rPr>
          <w:rFonts w:hint="eastAsia" w:ascii="Times New Roman" w:hAnsi="Times New Roman" w:eastAsia="仿宋_GB2312"/>
          <w:kern w:val="2"/>
          <w:sz w:val="32"/>
          <w:szCs w:val="32"/>
          <w:lang w:val="zh-CN"/>
        </w:rPr>
        <w:t>“网络费”</w:t>
      </w:r>
      <w:r>
        <w:rPr>
          <w:rFonts w:ascii="Times New Roman" w:hAnsi="Times New Roman" w:eastAsia="仿宋_GB2312"/>
          <w:kern w:val="2"/>
          <w:sz w:val="32"/>
          <w:szCs w:val="32"/>
          <w:lang w:val="zh-CN"/>
        </w:rPr>
        <w:t>等</w:t>
      </w:r>
      <w:r>
        <w:rPr>
          <w:rFonts w:hint="eastAsia" w:ascii="Times New Roman" w:hAnsi="Times New Roman" w:eastAsia="仿宋_GB2312"/>
          <w:kern w:val="2"/>
          <w:sz w:val="32"/>
          <w:szCs w:val="32"/>
          <w:lang w:val="en-US" w:eastAsia="zh-CN"/>
        </w:rPr>
        <w:t>11</w:t>
      </w:r>
      <w:r>
        <w:rPr>
          <w:rFonts w:ascii="Times New Roman" w:hAnsi="Times New Roman" w:eastAsia="仿宋_GB2312"/>
          <w:kern w:val="2"/>
          <w:sz w:val="32"/>
          <w:szCs w:val="32"/>
          <w:lang w:val="zh-CN"/>
        </w:rPr>
        <w:t>个项目开展了部门评价，涉及一般公共预算支出</w:t>
      </w:r>
      <w:r>
        <w:rPr>
          <w:rFonts w:hint="eastAsia" w:ascii="Times New Roman" w:hAnsi="Times New Roman" w:eastAsia="仿宋_GB2312"/>
          <w:kern w:val="2"/>
          <w:sz w:val="32"/>
          <w:szCs w:val="32"/>
          <w:lang w:val="zh-CN"/>
        </w:rPr>
        <w:t>485.80</w:t>
      </w:r>
      <w:r>
        <w:rPr>
          <w:rFonts w:ascii="Times New Roman" w:hAnsi="Times New Roman" w:eastAsia="仿宋_GB2312"/>
          <w:kern w:val="2"/>
          <w:sz w:val="32"/>
          <w:szCs w:val="32"/>
          <w:lang w:val="zh-CN"/>
        </w:rPr>
        <w:t>万元，政府性基金预算支出</w:t>
      </w:r>
      <w:r>
        <w:rPr>
          <w:rFonts w:hint="eastAsia" w:ascii="Times New Roman" w:hAnsi="Times New Roman" w:eastAsia="仿宋_GB2312"/>
          <w:kern w:val="2"/>
          <w:sz w:val="32"/>
          <w:szCs w:val="32"/>
          <w:lang w:val="zh-CN"/>
        </w:rPr>
        <w:t>0</w:t>
      </w:r>
      <w:r>
        <w:rPr>
          <w:rFonts w:ascii="Times New Roman" w:hAnsi="Times New Roman" w:eastAsia="仿宋_GB2312"/>
          <w:kern w:val="2"/>
          <w:sz w:val="32"/>
          <w:szCs w:val="32"/>
          <w:lang w:val="zh-CN"/>
        </w:rPr>
        <w:t>万元，国有资本经营预算支出</w:t>
      </w:r>
      <w:r>
        <w:rPr>
          <w:rFonts w:hint="eastAsia" w:ascii="Times New Roman" w:hAnsi="Times New Roman" w:eastAsia="仿宋_GB2312"/>
          <w:kern w:val="2"/>
          <w:sz w:val="32"/>
          <w:szCs w:val="32"/>
          <w:lang w:val="zh-CN"/>
        </w:rPr>
        <w:t>0</w:t>
      </w:r>
      <w:r>
        <w:rPr>
          <w:rFonts w:ascii="Times New Roman" w:hAnsi="Times New Roman" w:eastAsia="仿宋_GB2312"/>
          <w:kern w:val="2"/>
          <w:sz w:val="32"/>
          <w:szCs w:val="32"/>
          <w:lang w:val="zh-CN"/>
        </w:rPr>
        <w:t>万元。从评价情况来看，</w:t>
      </w:r>
      <w:r>
        <w:rPr>
          <w:rFonts w:hint="eastAsia" w:ascii="Times New Roman" w:hAnsi="Times New Roman" w:eastAsia="仿宋_GB2312"/>
          <w:kern w:val="2"/>
          <w:sz w:val="32"/>
          <w:szCs w:val="32"/>
          <w:lang w:val="zh-CN"/>
        </w:rPr>
        <w:t>我部门项目资金使用效益良好，较好完成年初设定的绩效目标。</w:t>
      </w:r>
    </w:p>
    <w:p>
      <w:pPr>
        <w:adjustRightInd w:val="0"/>
        <w:snapToGrid w:val="0"/>
        <w:spacing w:line="58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（二）部门决算中项目绩效自评结果</w:t>
      </w:r>
    </w:p>
    <w:p>
      <w:pPr>
        <w:pStyle w:val="11"/>
        <w:widowControl/>
        <w:spacing w:beforeAutospacing="0" w:afterAutospacing="0"/>
        <w:ind w:firstLine="640" w:firstLineChars="20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t>本部门在今年部门决算公开中反映</w:t>
      </w:r>
      <w:r>
        <w:rPr>
          <w:rFonts w:hint="eastAsia" w:ascii="Times New Roman" w:hAnsi="Times New Roman" w:eastAsia="仿宋_GB2312"/>
          <w:kern w:val="2"/>
          <w:sz w:val="32"/>
          <w:szCs w:val="32"/>
          <w:lang w:val="zh-CN"/>
        </w:rPr>
        <w:t>办公用房租赁费</w:t>
      </w:r>
      <w:r>
        <w:rPr>
          <w:rFonts w:ascii="Times New Roman" w:hAnsi="Times New Roman" w:eastAsia="仿宋_GB2312"/>
          <w:kern w:val="2"/>
          <w:sz w:val="32"/>
          <w:szCs w:val="32"/>
          <w:lang w:val="zh-CN"/>
        </w:rPr>
        <w:t>项目及</w:t>
      </w:r>
      <w:r>
        <w:rPr>
          <w:rFonts w:hint="eastAsia" w:ascii="Times New Roman" w:hAnsi="Times New Roman" w:eastAsia="仿宋_GB2312"/>
          <w:kern w:val="2"/>
          <w:sz w:val="32"/>
          <w:szCs w:val="32"/>
          <w:lang w:val="zh-CN"/>
        </w:rPr>
        <w:t>物业费</w:t>
      </w:r>
      <w:r>
        <w:rPr>
          <w:rFonts w:ascii="Times New Roman" w:hAnsi="Times New Roman" w:eastAsia="仿宋_GB2312"/>
          <w:kern w:val="2"/>
          <w:sz w:val="32"/>
          <w:szCs w:val="32"/>
          <w:lang w:val="zh-CN"/>
        </w:rPr>
        <w:t>项目等</w:t>
      </w:r>
      <w:r>
        <w:rPr>
          <w:rFonts w:hint="eastAsia" w:ascii="Times New Roman" w:hAnsi="Times New Roman" w:eastAsia="仿宋_GB2312"/>
          <w:kern w:val="2"/>
          <w:sz w:val="32"/>
          <w:szCs w:val="32"/>
          <w:lang w:val="en-US" w:eastAsia="zh-CN"/>
        </w:rPr>
        <w:t>11</w:t>
      </w:r>
      <w:r>
        <w:rPr>
          <w:rFonts w:ascii="Times New Roman" w:hAnsi="Times New Roman" w:eastAsia="仿宋_GB2312"/>
          <w:kern w:val="2"/>
          <w:sz w:val="32"/>
          <w:szCs w:val="32"/>
          <w:lang w:val="zh-CN"/>
        </w:rPr>
        <w:t>个项目绩效自评结果。</w:t>
      </w:r>
    </w:p>
    <w:p>
      <w:pPr>
        <w:pStyle w:val="11"/>
        <w:widowControl/>
        <w:spacing w:beforeAutospacing="0" w:afterAutospacing="0"/>
        <w:ind w:firstLine="640" w:firstLineChars="200"/>
        <w:rPr>
          <w:rFonts w:ascii="Times New Roman" w:hAnsi="Times New Roman" w:eastAsia="仿宋_GB2312"/>
          <w:sz w:val="32"/>
          <w:szCs w:val="32"/>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1）</w:t>
      </w:r>
      <w:r>
        <w:rPr>
          <w:rFonts w:hint="eastAsia" w:ascii="Times New Roman" w:hAnsi="Times New Roman" w:eastAsia="仿宋_GB2312"/>
          <w:kern w:val="2"/>
          <w:sz w:val="32"/>
          <w:szCs w:val="32"/>
          <w:lang w:val="zh-CN"/>
        </w:rPr>
        <w:t>办公用房租赁费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办公用房租赁费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zh-CN"/>
        </w:rPr>
        <w:t>100</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zh-CN"/>
        </w:rPr>
        <w:t>142.49</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zh-CN"/>
        </w:rPr>
        <w:t>142.18</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zh-CN"/>
        </w:rPr>
        <w:t>99.78</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完成办公用房租赁，租赁合格，满足办公用房的需要</w:t>
      </w:r>
      <w:r>
        <w:rPr>
          <w:rFonts w:ascii="Times New Roman" w:hAnsi="Times New Roman" w:eastAsia="仿宋_GB2312"/>
          <w:kern w:val="2"/>
          <w:sz w:val="32"/>
          <w:szCs w:val="32"/>
          <w:lang w:val="zh-CN"/>
        </w:rPr>
        <w:t>；二是</w:t>
      </w:r>
      <w:r>
        <w:rPr>
          <w:rFonts w:hint="eastAsia" w:ascii="Times New Roman" w:hAnsi="Times New Roman" w:eastAsia="仿宋_GB2312"/>
          <w:kern w:val="2"/>
          <w:sz w:val="32"/>
          <w:szCs w:val="32"/>
          <w:lang w:val="zh-CN"/>
        </w:rPr>
        <w:t>预算执行率较好，预算制定科学合理</w:t>
      </w:r>
      <w:r>
        <w:rPr>
          <w:rFonts w:ascii="Times New Roman" w:hAnsi="Times New Roman" w:eastAsia="仿宋_GB2312"/>
          <w:kern w:val="2"/>
          <w:sz w:val="32"/>
          <w:szCs w:val="32"/>
          <w:lang w:val="zh-CN"/>
        </w:rPr>
        <w:t>。</w:t>
      </w:r>
      <w:r>
        <w:rPr>
          <w:rFonts w:ascii="Times New Roman" w:hAnsi="Times New Roman" w:eastAsia="仿宋_GB2312"/>
          <w:sz w:val="32"/>
          <w:szCs w:val="32"/>
        </w:rPr>
        <w:t>完成了年初设定的各项绩效目标。未发现问题。</w:t>
      </w:r>
    </w:p>
    <w:p>
      <w:pPr>
        <w:pStyle w:val="11"/>
        <w:widowControl/>
        <w:spacing w:beforeAutospacing="0" w:afterAutospacing="0"/>
        <w:ind w:firstLine="640" w:firstLineChars="200"/>
        <w:rPr>
          <w:rFonts w:ascii="Times New Roman" w:hAnsi="Times New Roman" w:eastAsia="仿宋_GB2312"/>
          <w:sz w:val="32"/>
          <w:szCs w:val="32"/>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2</w:t>
      </w:r>
      <w:r>
        <w:rPr>
          <w:rFonts w:hint="eastAsia" w:ascii="Times New Roman" w:hAnsi="Times New Roman" w:eastAsia="仿宋_GB2312"/>
          <w:kern w:val="2"/>
          <w:sz w:val="32"/>
          <w:szCs w:val="32"/>
          <w:lang w:val="zh-CN"/>
        </w:rPr>
        <w:t>）物业费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物业费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zh-CN"/>
        </w:rPr>
        <w:t>100</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zh-CN"/>
        </w:rPr>
        <w:t>39.5</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zh-CN"/>
        </w:rPr>
        <w:t>39.5</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完成办公用房的物业服务，提供了干净整洁的办公环境</w:t>
      </w:r>
      <w:r>
        <w:rPr>
          <w:rFonts w:ascii="Times New Roman" w:hAnsi="Times New Roman" w:eastAsia="仿宋_GB2312"/>
          <w:kern w:val="2"/>
          <w:sz w:val="32"/>
          <w:szCs w:val="32"/>
          <w:lang w:val="zh-CN"/>
        </w:rPr>
        <w:t>；二是</w:t>
      </w:r>
      <w:r>
        <w:rPr>
          <w:rFonts w:hint="eastAsia" w:ascii="Times New Roman" w:hAnsi="Times New Roman" w:eastAsia="仿宋_GB2312"/>
          <w:kern w:val="2"/>
          <w:sz w:val="32"/>
          <w:szCs w:val="32"/>
          <w:lang w:val="zh-CN"/>
        </w:rPr>
        <w:t>预算执行率好，预算制定科学合理</w:t>
      </w:r>
      <w:r>
        <w:rPr>
          <w:rFonts w:ascii="Times New Roman" w:hAnsi="Times New Roman" w:eastAsia="仿宋_GB2312"/>
          <w:kern w:val="2"/>
          <w:sz w:val="32"/>
          <w:szCs w:val="32"/>
          <w:lang w:val="zh-CN"/>
        </w:rPr>
        <w:t>。</w:t>
      </w:r>
      <w:r>
        <w:rPr>
          <w:rFonts w:ascii="Times New Roman" w:hAnsi="Times New Roman" w:eastAsia="仿宋_GB2312"/>
          <w:sz w:val="32"/>
          <w:szCs w:val="32"/>
        </w:rPr>
        <w:t>完成了年初设定的各项绩效目标。未发现问题。</w:t>
      </w:r>
    </w:p>
    <w:p>
      <w:pPr>
        <w:pStyle w:val="11"/>
        <w:widowControl/>
        <w:spacing w:beforeAutospacing="0" w:afterAutospacing="0"/>
        <w:ind w:firstLine="640" w:firstLineChars="200"/>
        <w:rPr>
          <w:rFonts w:ascii="Times New Roman" w:hAnsi="Times New Roman" w:eastAsia="仿宋_GB2312"/>
          <w:sz w:val="32"/>
          <w:szCs w:val="32"/>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3</w:t>
      </w:r>
      <w:r>
        <w:rPr>
          <w:rFonts w:hint="eastAsia" w:ascii="Times New Roman" w:hAnsi="Times New Roman" w:eastAsia="仿宋_GB2312"/>
          <w:kern w:val="2"/>
          <w:sz w:val="32"/>
          <w:szCs w:val="32"/>
          <w:lang w:val="zh-CN"/>
        </w:rPr>
        <w:t>）网络费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网络费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zh-CN"/>
        </w:rPr>
        <w:t>100</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zh-CN"/>
        </w:rPr>
        <w:t>7.</w:t>
      </w:r>
      <w:r>
        <w:rPr>
          <w:rFonts w:hint="eastAsia" w:ascii="Times New Roman" w:hAnsi="Times New Roman" w:eastAsia="仿宋_GB2312"/>
          <w:kern w:val="2"/>
          <w:sz w:val="32"/>
          <w:szCs w:val="32"/>
          <w:lang w:val="en-US" w:eastAsia="zh-CN"/>
        </w:rPr>
        <w:t>40</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zh-CN"/>
        </w:rPr>
        <w:t>7.38</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zh-CN"/>
        </w:rPr>
        <w:t>99.73</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完成办公网络的租用服务，提供稳定的网络线路</w:t>
      </w:r>
      <w:r>
        <w:rPr>
          <w:rFonts w:ascii="Times New Roman" w:hAnsi="Times New Roman" w:eastAsia="仿宋_GB2312"/>
          <w:kern w:val="2"/>
          <w:sz w:val="32"/>
          <w:szCs w:val="32"/>
          <w:lang w:val="zh-CN"/>
        </w:rPr>
        <w:t>；二是</w:t>
      </w:r>
      <w:r>
        <w:rPr>
          <w:rFonts w:hint="eastAsia" w:ascii="Times New Roman" w:hAnsi="Times New Roman" w:eastAsia="仿宋_GB2312"/>
          <w:kern w:val="2"/>
          <w:sz w:val="32"/>
          <w:szCs w:val="32"/>
          <w:lang w:val="zh-CN"/>
        </w:rPr>
        <w:t>预算执行率好，预算制定科学合理</w:t>
      </w:r>
      <w:r>
        <w:rPr>
          <w:rFonts w:ascii="Times New Roman" w:hAnsi="Times New Roman" w:eastAsia="仿宋_GB2312"/>
          <w:kern w:val="2"/>
          <w:sz w:val="32"/>
          <w:szCs w:val="32"/>
          <w:lang w:val="zh-CN"/>
        </w:rPr>
        <w:t>。</w:t>
      </w:r>
      <w:r>
        <w:rPr>
          <w:rFonts w:ascii="Times New Roman" w:hAnsi="Times New Roman" w:eastAsia="仿宋_GB2312"/>
          <w:sz w:val="32"/>
          <w:szCs w:val="32"/>
        </w:rPr>
        <w:t>完成了年初设定的各项绩效目标。未发现问题。</w:t>
      </w:r>
    </w:p>
    <w:p>
      <w:pPr>
        <w:pStyle w:val="11"/>
        <w:widowControl/>
        <w:spacing w:beforeAutospacing="0" w:afterAutospacing="0"/>
        <w:ind w:firstLine="640" w:firstLineChars="200"/>
        <w:rPr>
          <w:rFonts w:ascii="Times New Roman" w:hAnsi="Times New Roman" w:eastAsia="仿宋_GB2312"/>
          <w:sz w:val="32"/>
          <w:szCs w:val="32"/>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4</w:t>
      </w:r>
      <w:r>
        <w:rPr>
          <w:rFonts w:hint="eastAsia" w:ascii="Times New Roman" w:hAnsi="Times New Roman" w:eastAsia="仿宋_GB2312"/>
          <w:kern w:val="2"/>
          <w:sz w:val="32"/>
          <w:szCs w:val="32"/>
          <w:lang w:val="zh-CN"/>
        </w:rPr>
        <w:t>）唐山新城水土保持区域评估</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唐山新城水土保持区域评估</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zh-CN"/>
        </w:rPr>
        <w:t>100</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30.00</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29.50</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zh-CN"/>
        </w:rPr>
        <w:t>9</w:t>
      </w:r>
      <w:r>
        <w:rPr>
          <w:rFonts w:hint="eastAsia" w:ascii="Times New Roman" w:hAnsi="Times New Roman" w:eastAsia="仿宋_GB2312"/>
          <w:kern w:val="2"/>
          <w:sz w:val="32"/>
          <w:szCs w:val="32"/>
          <w:lang w:val="en-US" w:eastAsia="zh-CN"/>
        </w:rPr>
        <w:t>8.33</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完成了水土保持区域评估编制</w:t>
      </w:r>
      <w:r>
        <w:rPr>
          <w:rFonts w:ascii="Times New Roman" w:hAnsi="Times New Roman" w:eastAsia="仿宋_GB2312"/>
          <w:kern w:val="2"/>
          <w:sz w:val="32"/>
          <w:szCs w:val="32"/>
          <w:lang w:val="zh-CN"/>
        </w:rPr>
        <w:t>；二是</w:t>
      </w:r>
      <w:r>
        <w:rPr>
          <w:rFonts w:hint="eastAsia" w:ascii="Times New Roman" w:hAnsi="Times New Roman" w:eastAsia="仿宋_GB2312"/>
          <w:kern w:val="2"/>
          <w:sz w:val="32"/>
          <w:szCs w:val="32"/>
          <w:lang w:val="zh-CN"/>
        </w:rPr>
        <w:t>预算执行率好，预算制定科学合理</w:t>
      </w:r>
      <w:r>
        <w:rPr>
          <w:rFonts w:ascii="Times New Roman" w:hAnsi="Times New Roman" w:eastAsia="仿宋_GB2312"/>
          <w:kern w:val="2"/>
          <w:sz w:val="32"/>
          <w:szCs w:val="32"/>
          <w:lang w:val="zh-CN"/>
        </w:rPr>
        <w:t>。</w:t>
      </w:r>
      <w:r>
        <w:rPr>
          <w:rFonts w:ascii="Times New Roman" w:hAnsi="Times New Roman" w:eastAsia="仿宋_GB2312"/>
          <w:sz w:val="32"/>
          <w:szCs w:val="32"/>
        </w:rPr>
        <w:t>完成了年初设定的各项绩效目标。未发现问题。</w:t>
      </w:r>
    </w:p>
    <w:p>
      <w:pPr>
        <w:pStyle w:val="11"/>
        <w:widowControl/>
        <w:spacing w:beforeAutospacing="0" w:afterAutospacing="0"/>
        <w:ind w:firstLine="640" w:firstLineChars="200"/>
        <w:rPr>
          <w:rFonts w:ascii="Times New Roman" w:hAnsi="Times New Roman" w:eastAsia="仿宋_GB2312"/>
          <w:sz w:val="32"/>
          <w:szCs w:val="32"/>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5</w:t>
      </w:r>
      <w:r>
        <w:rPr>
          <w:rFonts w:hint="eastAsia" w:ascii="Times New Roman" w:hAnsi="Times New Roman" w:eastAsia="仿宋_GB2312"/>
          <w:kern w:val="2"/>
          <w:sz w:val="32"/>
          <w:szCs w:val="32"/>
          <w:lang w:val="zh-CN"/>
        </w:rPr>
        <w:t>）唐山新城专项规划设计</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唐山新城专项规划设计</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zh-CN"/>
        </w:rPr>
        <w:t>100</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99.50</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99.50</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已通过专家评审，形成稳定成果</w:t>
      </w:r>
      <w:r>
        <w:rPr>
          <w:rFonts w:ascii="Times New Roman" w:hAnsi="Times New Roman" w:eastAsia="仿宋_GB2312"/>
          <w:kern w:val="2"/>
          <w:sz w:val="32"/>
          <w:szCs w:val="32"/>
          <w:lang w:val="zh-CN"/>
        </w:rPr>
        <w:t>；二是</w:t>
      </w:r>
      <w:r>
        <w:rPr>
          <w:rFonts w:hint="eastAsia" w:ascii="Times New Roman" w:hAnsi="Times New Roman" w:eastAsia="仿宋_GB2312"/>
          <w:kern w:val="2"/>
          <w:sz w:val="32"/>
          <w:szCs w:val="32"/>
          <w:lang w:val="zh-CN"/>
        </w:rPr>
        <w:t>预算执行率好，预算制定科学合理</w:t>
      </w:r>
      <w:r>
        <w:rPr>
          <w:rFonts w:ascii="Times New Roman" w:hAnsi="Times New Roman" w:eastAsia="仿宋_GB2312"/>
          <w:kern w:val="2"/>
          <w:sz w:val="32"/>
          <w:szCs w:val="32"/>
          <w:lang w:val="zh-CN"/>
        </w:rPr>
        <w:t>。</w:t>
      </w:r>
      <w:r>
        <w:rPr>
          <w:rFonts w:ascii="Times New Roman" w:hAnsi="Times New Roman" w:eastAsia="仿宋_GB2312"/>
          <w:sz w:val="32"/>
          <w:szCs w:val="32"/>
        </w:rPr>
        <w:t>完成了年初设定的各项绩效目标。未发现问题。</w:t>
      </w:r>
    </w:p>
    <w:p>
      <w:pPr>
        <w:pStyle w:val="11"/>
        <w:widowControl/>
        <w:spacing w:beforeAutospacing="0" w:afterAutospacing="0"/>
        <w:ind w:firstLine="640" w:firstLineChars="200"/>
        <w:rPr>
          <w:rFonts w:ascii="Times New Roman" w:hAnsi="Times New Roman" w:eastAsia="仿宋_GB2312"/>
          <w:sz w:val="32"/>
          <w:szCs w:val="32"/>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6</w:t>
      </w:r>
      <w:r>
        <w:rPr>
          <w:rFonts w:hint="eastAsia" w:ascii="Times New Roman" w:hAnsi="Times New Roman" w:eastAsia="仿宋_GB2312"/>
          <w:kern w:val="2"/>
          <w:sz w:val="32"/>
          <w:szCs w:val="32"/>
          <w:lang w:val="zh-CN"/>
        </w:rPr>
        <w:t>）专项宣传教育经费</w:t>
      </w:r>
      <w:r>
        <w:rPr>
          <w:rFonts w:ascii="Times New Roman" w:hAnsi="Times New Roman" w:eastAsia="仿宋_GB2312"/>
          <w:kern w:val="2"/>
          <w:sz w:val="32"/>
          <w:szCs w:val="32"/>
          <w:lang w:val="zh-CN"/>
        </w:rPr>
        <w:t>绩效自评情况：根据年初设定的绩效目标，</w:t>
      </w:r>
      <w:r>
        <w:rPr>
          <w:rFonts w:hint="eastAsia" w:ascii="Times New Roman" w:hAnsi="Times New Roman" w:eastAsia="仿宋_GB2312"/>
          <w:kern w:val="2"/>
          <w:sz w:val="32"/>
          <w:szCs w:val="32"/>
          <w:lang w:val="zh-CN"/>
        </w:rPr>
        <w:t>唐山新城专项规划设计</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92.95</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4</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3.50</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87.46</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保障了宣传教育工作开展</w:t>
      </w:r>
      <w:r>
        <w:rPr>
          <w:rFonts w:ascii="Times New Roman" w:hAnsi="Times New Roman" w:eastAsia="仿宋_GB2312"/>
          <w:kern w:val="2"/>
          <w:sz w:val="32"/>
          <w:szCs w:val="32"/>
          <w:lang w:val="zh-CN"/>
        </w:rPr>
        <w:t>；二是</w:t>
      </w:r>
      <w:r>
        <w:rPr>
          <w:rFonts w:hint="eastAsia" w:ascii="Times New Roman" w:hAnsi="Times New Roman" w:eastAsia="仿宋_GB2312"/>
          <w:kern w:val="2"/>
          <w:sz w:val="32"/>
          <w:szCs w:val="32"/>
          <w:lang w:val="zh-CN"/>
        </w:rPr>
        <w:t>预算执行率好，预算制定科学合理</w:t>
      </w:r>
      <w:r>
        <w:rPr>
          <w:rFonts w:ascii="Times New Roman" w:hAnsi="Times New Roman" w:eastAsia="仿宋_GB2312"/>
          <w:kern w:val="2"/>
          <w:sz w:val="32"/>
          <w:szCs w:val="32"/>
          <w:lang w:val="zh-CN"/>
        </w:rPr>
        <w:t>。</w:t>
      </w:r>
      <w:r>
        <w:rPr>
          <w:rFonts w:ascii="Times New Roman" w:hAnsi="Times New Roman" w:eastAsia="仿宋_GB2312"/>
          <w:sz w:val="32"/>
          <w:szCs w:val="32"/>
        </w:rPr>
        <w:t>完成了年初设定的各项绩效目标。未发现问题。</w:t>
      </w:r>
    </w:p>
    <w:p>
      <w:pPr>
        <w:pStyle w:val="11"/>
        <w:widowControl/>
        <w:spacing w:beforeAutospacing="0" w:afterAutospacing="0"/>
        <w:ind w:firstLine="640" w:firstLineChars="200"/>
        <w:rPr>
          <w:rFonts w:ascii="Times New Roman" w:hAnsi="Times New Roman" w:eastAsia="仿宋_GB2312"/>
          <w:sz w:val="32"/>
          <w:szCs w:val="32"/>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7</w:t>
      </w:r>
      <w:r>
        <w:rPr>
          <w:rFonts w:hint="eastAsia" w:ascii="Times New Roman" w:hAnsi="Times New Roman" w:eastAsia="仿宋_GB2312"/>
          <w:kern w:val="2"/>
          <w:sz w:val="32"/>
          <w:szCs w:val="32"/>
          <w:lang w:val="zh-CN"/>
        </w:rPr>
        <w:t>）专项印刷及招商推介资料费</w:t>
      </w:r>
      <w:r>
        <w:rPr>
          <w:rFonts w:ascii="Times New Roman" w:hAnsi="Times New Roman" w:eastAsia="仿宋_GB2312"/>
          <w:kern w:val="2"/>
          <w:sz w:val="32"/>
          <w:szCs w:val="32"/>
          <w:lang w:val="zh-CN"/>
        </w:rPr>
        <w:t>绩效自评情况：根据年初设定的绩效目标，</w:t>
      </w:r>
      <w:r>
        <w:rPr>
          <w:rFonts w:hint="eastAsia" w:ascii="Times New Roman" w:hAnsi="Times New Roman" w:eastAsia="仿宋_GB2312"/>
          <w:kern w:val="2"/>
          <w:sz w:val="32"/>
          <w:szCs w:val="32"/>
          <w:lang w:val="zh-CN"/>
        </w:rPr>
        <w:t>唐山新城专项规划设计</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92.97</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18.00</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5.34</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29.69</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满足了业务开展需求；二是印刷合格率、及时率较高</w:t>
      </w:r>
      <w:r>
        <w:rPr>
          <w:rFonts w:ascii="Times New Roman" w:hAnsi="Times New Roman" w:eastAsia="仿宋_GB2312"/>
          <w:sz w:val="32"/>
          <w:szCs w:val="32"/>
        </w:rPr>
        <w:t>。</w:t>
      </w:r>
      <w:r>
        <w:rPr>
          <w:rFonts w:hint="eastAsia" w:ascii="Times New Roman" w:hAnsi="Times New Roman" w:eastAsia="仿宋_GB2312"/>
          <w:sz w:val="32"/>
          <w:szCs w:val="32"/>
          <w:lang w:eastAsia="zh-CN"/>
        </w:rPr>
        <w:t>以后年度根据业务需要，及时调整预算</w:t>
      </w:r>
      <w:r>
        <w:rPr>
          <w:rFonts w:ascii="Times New Roman" w:hAnsi="Times New Roman" w:eastAsia="仿宋_GB2312"/>
          <w:sz w:val="32"/>
          <w:szCs w:val="32"/>
        </w:rPr>
        <w:t>。</w:t>
      </w:r>
    </w:p>
    <w:p>
      <w:pPr>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附项目支出绩效自评表</w:t>
      </w:r>
    </w:p>
    <w:p>
      <w:pPr>
        <w:rPr>
          <w:rFonts w:hint="eastAsia" w:ascii="Times New Roman" w:hAnsi="Times New Roman" w:eastAsia="仿宋_GB2312" w:cs="Times New Roman"/>
          <w:sz w:val="32"/>
          <w:szCs w:val="32"/>
          <w:highlight w:val="none"/>
          <w:lang w:eastAsia="zh-CN"/>
        </w:rPr>
      </w:pPr>
      <w:r>
        <w:rPr>
          <w:rFonts w:hint="eastAsia" w:ascii="Times New Roman" w:hAnsi="Times New Roman" w:eastAsia="仿宋_GB2312" w:cs="Times New Roman"/>
          <w:sz w:val="32"/>
          <w:szCs w:val="32"/>
          <w:highlight w:val="none"/>
          <w:lang w:eastAsia="zh-CN"/>
        </w:rPr>
        <w:drawing>
          <wp:inline distT="0" distB="0" distL="114300" distR="114300">
            <wp:extent cx="5572760" cy="3185795"/>
            <wp:effectExtent l="0" t="0" r="8890" b="14605"/>
            <wp:docPr id="2" name="图片 2"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111"/>
                    <pic:cNvPicPr>
                      <a:picLocks noChangeAspect="1"/>
                    </pic:cNvPicPr>
                  </pic:nvPicPr>
                  <pic:blipFill>
                    <a:blip r:embed="rId15"/>
                    <a:stretch>
                      <a:fillRect/>
                    </a:stretch>
                  </pic:blipFill>
                  <pic:spPr>
                    <a:xfrm>
                      <a:off x="0" y="0"/>
                      <a:ext cx="5572760" cy="3185795"/>
                    </a:xfrm>
                    <a:prstGeom prst="rect">
                      <a:avLst/>
                    </a:prstGeom>
                  </pic:spPr>
                </pic:pic>
              </a:graphicData>
            </a:graphic>
          </wp:inline>
        </w:drawing>
      </w:r>
    </w:p>
    <w:p>
      <w:pPr>
        <w:rPr>
          <w:rFonts w:hint="eastAsia" w:ascii="Times New Roman" w:hAnsi="Times New Roman" w:eastAsia="仿宋_GB2312" w:cs="Times New Roman"/>
          <w:sz w:val="32"/>
          <w:szCs w:val="32"/>
          <w:highlight w:val="none"/>
          <w:lang w:eastAsia="zh-CN"/>
        </w:rPr>
      </w:pPr>
    </w:p>
    <w:p>
      <w:pPr>
        <w:rPr>
          <w:rFonts w:hint="eastAsia" w:ascii="Times New Roman" w:hAnsi="Times New Roman" w:eastAsia="仿宋_GB2312" w:cs="Times New Roman"/>
          <w:sz w:val="32"/>
          <w:szCs w:val="32"/>
          <w:highlight w:val="none"/>
          <w:lang w:eastAsia="zh-CN"/>
        </w:rPr>
      </w:pPr>
      <w:r>
        <w:rPr>
          <w:rFonts w:hint="eastAsia" w:ascii="Times New Roman" w:hAnsi="Times New Roman" w:eastAsia="仿宋_GB2312" w:cs="Times New Roman"/>
          <w:sz w:val="32"/>
          <w:szCs w:val="32"/>
          <w:highlight w:val="none"/>
          <w:lang w:eastAsia="zh-CN"/>
        </w:rPr>
        <w:drawing>
          <wp:inline distT="0" distB="0" distL="114300" distR="114300">
            <wp:extent cx="5621020" cy="3130550"/>
            <wp:effectExtent l="0" t="0" r="17780" b="12700"/>
            <wp:docPr id="4" name="图片 4" descr="22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2222222"/>
                    <pic:cNvPicPr>
                      <a:picLocks noChangeAspect="1"/>
                    </pic:cNvPicPr>
                  </pic:nvPicPr>
                  <pic:blipFill>
                    <a:blip r:embed="rId16"/>
                    <a:stretch>
                      <a:fillRect/>
                    </a:stretch>
                  </pic:blipFill>
                  <pic:spPr>
                    <a:xfrm>
                      <a:off x="0" y="0"/>
                      <a:ext cx="5621020" cy="3130550"/>
                    </a:xfrm>
                    <a:prstGeom prst="rect">
                      <a:avLst/>
                    </a:prstGeom>
                  </pic:spPr>
                </pic:pic>
              </a:graphicData>
            </a:graphic>
          </wp:inline>
        </w:drawing>
      </w:r>
    </w:p>
    <w:p>
      <w:pPr>
        <w:rPr>
          <w:rFonts w:hint="eastAsia" w:ascii="Times New Roman" w:hAnsi="Times New Roman" w:eastAsia="仿宋_GB2312" w:cs="Times New Roman"/>
          <w:sz w:val="32"/>
          <w:szCs w:val="32"/>
          <w:highlight w:val="none"/>
          <w:lang w:eastAsia="zh-CN"/>
        </w:rPr>
      </w:pPr>
      <w:r>
        <w:rPr>
          <w:rFonts w:hint="eastAsia" w:ascii="Times New Roman" w:hAnsi="Times New Roman" w:eastAsia="仿宋_GB2312" w:cs="Times New Roman"/>
          <w:sz w:val="32"/>
          <w:szCs w:val="32"/>
          <w:highlight w:val="none"/>
          <w:lang w:eastAsia="zh-CN"/>
        </w:rPr>
        <w:drawing>
          <wp:inline distT="0" distB="0" distL="114300" distR="114300">
            <wp:extent cx="5631815" cy="3398520"/>
            <wp:effectExtent l="0" t="0" r="6985" b="11430"/>
            <wp:docPr id="5" name="图片 5" descr="333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333333"/>
                    <pic:cNvPicPr>
                      <a:picLocks noChangeAspect="1"/>
                    </pic:cNvPicPr>
                  </pic:nvPicPr>
                  <pic:blipFill>
                    <a:blip r:embed="rId17"/>
                    <a:stretch>
                      <a:fillRect/>
                    </a:stretch>
                  </pic:blipFill>
                  <pic:spPr>
                    <a:xfrm>
                      <a:off x="0" y="0"/>
                      <a:ext cx="5631815" cy="3398520"/>
                    </a:xfrm>
                    <a:prstGeom prst="rect">
                      <a:avLst/>
                    </a:prstGeom>
                  </pic:spPr>
                </pic:pic>
              </a:graphicData>
            </a:graphic>
          </wp:inline>
        </w:drawing>
      </w:r>
    </w:p>
    <w:p>
      <w:pPr>
        <w:rPr>
          <w:rFonts w:hint="eastAsia" w:ascii="Times New Roman" w:hAnsi="Times New Roman" w:eastAsia="仿宋_GB2312" w:cs="Times New Roman"/>
          <w:sz w:val="32"/>
          <w:szCs w:val="32"/>
          <w:highlight w:val="none"/>
          <w:lang w:eastAsia="zh-CN"/>
        </w:rPr>
      </w:pPr>
      <w:r>
        <w:rPr>
          <w:rFonts w:hint="eastAsia" w:ascii="Times New Roman" w:hAnsi="Times New Roman" w:eastAsia="仿宋_GB2312" w:cs="Times New Roman"/>
          <w:sz w:val="32"/>
          <w:szCs w:val="32"/>
          <w:highlight w:val="none"/>
          <w:lang w:eastAsia="zh-CN"/>
        </w:rPr>
        <w:drawing>
          <wp:inline distT="0" distB="0" distL="114300" distR="114300">
            <wp:extent cx="5675630" cy="3437890"/>
            <wp:effectExtent l="0" t="0" r="1270" b="10160"/>
            <wp:docPr id="1" name="图片 1" descr="唐山新城水土保持区域评估项目绩效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唐山新城水土保持区域评估项目绩效表"/>
                    <pic:cNvPicPr>
                      <a:picLocks noChangeAspect="1"/>
                    </pic:cNvPicPr>
                  </pic:nvPicPr>
                  <pic:blipFill>
                    <a:blip r:embed="rId18"/>
                    <a:stretch>
                      <a:fillRect/>
                    </a:stretch>
                  </pic:blipFill>
                  <pic:spPr>
                    <a:xfrm>
                      <a:off x="0" y="0"/>
                      <a:ext cx="5675630" cy="3437890"/>
                    </a:xfrm>
                    <a:prstGeom prst="rect">
                      <a:avLst/>
                    </a:prstGeom>
                  </pic:spPr>
                </pic:pic>
              </a:graphicData>
            </a:graphic>
          </wp:inline>
        </w:drawing>
      </w:r>
    </w:p>
    <w:p>
      <w:pPr>
        <w:rPr>
          <w:rFonts w:hint="eastAsia" w:ascii="Times New Roman" w:hAnsi="Times New Roman" w:eastAsia="仿宋_GB2312" w:cs="Times New Roman"/>
          <w:sz w:val="32"/>
          <w:szCs w:val="32"/>
          <w:highlight w:val="none"/>
          <w:lang w:eastAsia="zh-CN"/>
        </w:rPr>
      </w:pPr>
      <w:r>
        <w:rPr>
          <w:rFonts w:hint="eastAsia" w:ascii="Times New Roman" w:hAnsi="Times New Roman" w:eastAsia="仿宋_GB2312" w:cs="Times New Roman"/>
          <w:sz w:val="32"/>
          <w:szCs w:val="32"/>
          <w:highlight w:val="none"/>
          <w:lang w:eastAsia="zh-CN"/>
        </w:rPr>
        <w:drawing>
          <wp:inline distT="0" distB="0" distL="114300" distR="114300">
            <wp:extent cx="5476240" cy="3228340"/>
            <wp:effectExtent l="0" t="0" r="10160" b="10160"/>
            <wp:docPr id="6" name="图片 6" descr="唐山新城专项规划设计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唐山新城专项规划设计费"/>
                    <pic:cNvPicPr>
                      <a:picLocks noChangeAspect="1"/>
                    </pic:cNvPicPr>
                  </pic:nvPicPr>
                  <pic:blipFill>
                    <a:blip r:embed="rId19"/>
                    <a:stretch>
                      <a:fillRect/>
                    </a:stretch>
                  </pic:blipFill>
                  <pic:spPr>
                    <a:xfrm>
                      <a:off x="0" y="0"/>
                      <a:ext cx="5476240" cy="3228340"/>
                    </a:xfrm>
                    <a:prstGeom prst="rect">
                      <a:avLst/>
                    </a:prstGeom>
                  </pic:spPr>
                </pic:pic>
              </a:graphicData>
            </a:graphic>
          </wp:inline>
        </w:drawing>
      </w:r>
    </w:p>
    <w:p>
      <w:pPr>
        <w:rPr>
          <w:rFonts w:hint="eastAsia" w:ascii="Times New Roman" w:hAnsi="Times New Roman" w:eastAsia="仿宋_GB2312" w:cs="Times New Roman"/>
          <w:sz w:val="32"/>
          <w:szCs w:val="32"/>
          <w:highlight w:val="none"/>
          <w:lang w:eastAsia="zh-CN"/>
        </w:rPr>
      </w:pPr>
      <w:r>
        <w:rPr>
          <w:rFonts w:hint="eastAsia" w:ascii="Times New Roman" w:hAnsi="Times New Roman" w:eastAsia="仿宋_GB2312" w:cs="Times New Roman"/>
          <w:sz w:val="32"/>
          <w:szCs w:val="32"/>
          <w:highlight w:val="none"/>
          <w:lang w:eastAsia="zh-CN"/>
        </w:rPr>
        <w:drawing>
          <wp:inline distT="0" distB="0" distL="114300" distR="114300">
            <wp:extent cx="5489575" cy="3190875"/>
            <wp:effectExtent l="0" t="0" r="15875" b="9525"/>
            <wp:docPr id="7" name="图片 7" descr="专项宣传教育经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专项宣传教育经费"/>
                    <pic:cNvPicPr>
                      <a:picLocks noChangeAspect="1"/>
                    </pic:cNvPicPr>
                  </pic:nvPicPr>
                  <pic:blipFill>
                    <a:blip r:embed="rId20"/>
                    <a:stretch>
                      <a:fillRect/>
                    </a:stretch>
                  </pic:blipFill>
                  <pic:spPr>
                    <a:xfrm>
                      <a:off x="0" y="0"/>
                      <a:ext cx="5489575" cy="3190875"/>
                    </a:xfrm>
                    <a:prstGeom prst="rect">
                      <a:avLst/>
                    </a:prstGeom>
                  </pic:spPr>
                </pic:pic>
              </a:graphicData>
            </a:graphic>
          </wp:inline>
        </w:drawing>
      </w:r>
    </w:p>
    <w:p>
      <w:pPr>
        <w:rPr>
          <w:rFonts w:hint="eastAsia" w:ascii="Times New Roman" w:hAnsi="Times New Roman" w:eastAsia="仿宋_GB2312" w:cs="Times New Roman"/>
          <w:sz w:val="32"/>
          <w:szCs w:val="32"/>
          <w:highlight w:val="none"/>
          <w:lang w:eastAsia="zh-CN"/>
        </w:rPr>
      </w:pPr>
      <w:r>
        <w:rPr>
          <w:rFonts w:hint="eastAsia" w:ascii="Times New Roman" w:hAnsi="Times New Roman" w:eastAsia="仿宋_GB2312" w:cs="Times New Roman"/>
          <w:sz w:val="32"/>
          <w:szCs w:val="32"/>
          <w:highlight w:val="none"/>
          <w:lang w:eastAsia="zh-CN"/>
        </w:rPr>
        <w:drawing>
          <wp:inline distT="0" distB="0" distL="114300" distR="114300">
            <wp:extent cx="5569585" cy="3334385"/>
            <wp:effectExtent l="0" t="0" r="12065" b="18415"/>
            <wp:docPr id="9" name="图片 9" descr="专项印刷及招商资料推介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专项印刷及招商资料推介费"/>
                    <pic:cNvPicPr>
                      <a:picLocks noChangeAspect="1"/>
                    </pic:cNvPicPr>
                  </pic:nvPicPr>
                  <pic:blipFill>
                    <a:blip r:embed="rId21"/>
                    <a:stretch>
                      <a:fillRect/>
                    </a:stretch>
                  </pic:blipFill>
                  <pic:spPr>
                    <a:xfrm>
                      <a:off x="0" y="0"/>
                      <a:ext cx="5569585" cy="3334385"/>
                    </a:xfrm>
                    <a:prstGeom prst="rect">
                      <a:avLst/>
                    </a:prstGeom>
                  </pic:spPr>
                </pic:pic>
              </a:graphicData>
            </a:graphic>
          </wp:inline>
        </w:drawing>
      </w:r>
    </w:p>
    <w:p>
      <w:pPr>
        <w:numPr>
          <w:ilvl w:val="0"/>
          <w:numId w:val="2"/>
        </w:numPr>
        <w:adjustRightInd w:val="0"/>
        <w:snapToGrid w:val="0"/>
        <w:spacing w:line="580" w:lineRule="exact"/>
        <w:ind w:left="480" w:leftChars="200" w:firstLine="321" w:firstLineChars="100"/>
        <w:rPr>
          <w:rFonts w:ascii="Times New Roman" w:hAnsi="Times New Roman" w:eastAsia="仿宋_GB2312" w:cs="Times New Roman"/>
          <w:b/>
          <w:bCs/>
          <w:sz w:val="32"/>
          <w:szCs w:val="32"/>
          <w:highlight w:val="none"/>
        </w:rPr>
      </w:pPr>
      <w:r>
        <w:rPr>
          <w:rFonts w:ascii="Times New Roman" w:hAnsi="Times New Roman" w:eastAsia="仿宋_GB2312" w:cs="Times New Roman"/>
          <w:b/>
          <w:bCs/>
          <w:sz w:val="32"/>
          <w:szCs w:val="32"/>
          <w:highlight w:val="none"/>
        </w:rPr>
        <w:t>部门评价项目绩效评价结果</w:t>
      </w:r>
    </w:p>
    <w:p>
      <w:pPr>
        <w:pStyle w:val="7"/>
        <w:keepNext w:val="0"/>
        <w:keepLines w:val="0"/>
        <w:pageBreakBefore w:val="0"/>
        <w:widowControl/>
        <w:kinsoku w:val="0"/>
        <w:wordWrap/>
        <w:overflowPunct/>
        <w:topLinePunct w:val="0"/>
        <w:autoSpaceDE w:val="0"/>
        <w:autoSpaceDN w:val="0"/>
        <w:bidi w:val="0"/>
        <w:adjustRightInd w:val="0"/>
        <w:snapToGrid w:val="0"/>
        <w:spacing w:line="570" w:lineRule="exact"/>
        <w:ind w:left="0" w:right="0" w:firstLine="696" w:firstLineChars="200"/>
        <w:textAlignment w:val="baseline"/>
        <w:rPr>
          <w:rFonts w:ascii="Times New Roman" w:hAnsi="Times New Roman" w:eastAsia="仿宋_GB2312" w:cs="Times New Roman"/>
          <w:b/>
          <w:bCs/>
          <w:sz w:val="32"/>
          <w:szCs w:val="32"/>
          <w:highlight w:val="none"/>
        </w:rPr>
      </w:pPr>
      <w:r>
        <w:rPr>
          <w:rFonts w:hint="eastAsia" w:ascii="仿宋_GB2312" w:hAnsi="仿宋_GB2312" w:eastAsia="仿宋_GB2312" w:cs="仿宋_GB2312"/>
          <w:spacing w:val="14"/>
          <w:sz w:val="32"/>
          <w:szCs w:val="32"/>
          <w:lang w:val="en-US" w:eastAsia="en-US"/>
        </w:rPr>
        <w:t>预算项目的预期绩效目标完成</w:t>
      </w:r>
      <w:r>
        <w:rPr>
          <w:rFonts w:hint="eastAsia" w:ascii="仿宋_GB2312" w:hAnsi="仿宋_GB2312" w:eastAsia="仿宋_GB2312" w:cs="仿宋_GB2312"/>
          <w:spacing w:val="14"/>
          <w:sz w:val="32"/>
          <w:szCs w:val="32"/>
          <w:lang w:val="en-US" w:eastAsia="zh-CN"/>
        </w:rPr>
        <w:t>较好，各预算项目自评得分均在90分以上，基本</w:t>
      </w:r>
      <w:r>
        <w:rPr>
          <w:rFonts w:hint="eastAsia" w:ascii="仿宋_GB2312" w:hAnsi="仿宋_GB2312" w:eastAsia="仿宋_GB2312" w:cs="仿宋_GB2312"/>
          <w:spacing w:val="14"/>
          <w:sz w:val="32"/>
          <w:szCs w:val="32"/>
          <w:lang w:val="en-US" w:eastAsia="en-US"/>
        </w:rPr>
        <w:t>完成绩效目标</w:t>
      </w:r>
      <w:r>
        <w:rPr>
          <w:rFonts w:hint="eastAsia" w:ascii="仿宋_GB2312" w:hAnsi="仿宋_GB2312" w:eastAsia="仿宋_GB2312" w:cs="仿宋_GB2312"/>
          <w:spacing w:val="14"/>
          <w:sz w:val="32"/>
          <w:szCs w:val="32"/>
          <w:lang w:val="en-US" w:eastAsia="zh-CN"/>
        </w:rPr>
        <w:t>，无</w:t>
      </w:r>
      <w:r>
        <w:rPr>
          <w:rFonts w:hint="eastAsia" w:ascii="仿宋_GB2312" w:hAnsi="仿宋_GB2312" w:eastAsia="仿宋_GB2312" w:cs="仿宋_GB2312"/>
          <w:spacing w:val="14"/>
          <w:sz w:val="32"/>
          <w:szCs w:val="32"/>
          <w:lang w:val="en-US" w:eastAsia="en-US"/>
        </w:rPr>
        <w:t>偏离绩效目标较大的</w:t>
      </w:r>
      <w:r>
        <w:rPr>
          <w:rFonts w:hint="eastAsia" w:ascii="仿宋_GB2312" w:hAnsi="仿宋_GB2312" w:eastAsia="仿宋_GB2312" w:cs="仿宋_GB2312"/>
          <w:spacing w:val="14"/>
          <w:sz w:val="32"/>
          <w:szCs w:val="32"/>
          <w:lang w:val="en-US" w:eastAsia="zh-CN"/>
        </w:rPr>
        <w:t>项目</w:t>
      </w:r>
      <w:r>
        <w:rPr>
          <w:rFonts w:hint="eastAsia" w:ascii="仿宋_GB2312" w:hAnsi="仿宋_GB2312" w:eastAsia="仿宋_GB2312" w:cs="仿宋_GB2312"/>
          <w:spacing w:val="14"/>
          <w:sz w:val="32"/>
          <w:szCs w:val="32"/>
          <w:lang w:val="en-US" w:eastAsia="en-US"/>
        </w:rPr>
        <w:t>。</w:t>
      </w:r>
    </w:p>
    <w:p>
      <w:pPr>
        <w:adjustRightInd w:val="0"/>
        <w:snapToGrid w:val="0"/>
        <w:spacing w:line="580" w:lineRule="exact"/>
        <w:ind w:firstLine="640" w:firstLineChars="200"/>
        <w:rPr>
          <w:rFonts w:ascii="Times New Roman" w:hAnsi="Times New Roman" w:eastAsia="楷体_GB2312" w:cs="Times New Roman"/>
          <w:b/>
          <w:bCs/>
          <w:sz w:val="32"/>
          <w:szCs w:val="32"/>
        </w:rPr>
      </w:pPr>
      <w:r>
        <w:rPr>
          <w:rFonts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 本部门2023年度</w:t>
      </w:r>
      <w:r>
        <w:rPr>
          <w:rFonts w:hint="eastAsia" w:ascii="方正仿宋_GB2312" w:hAnsi="方正仿宋_GB2312" w:eastAsia="方正仿宋_GB2312" w:cs="方正仿宋_GB2312"/>
          <w:bCs/>
          <w:sz w:val="32"/>
          <w:szCs w:val="32"/>
        </w:rPr>
        <w:t>政府性基金预算财政拨款</w:t>
      </w:r>
      <w:r>
        <w:rPr>
          <w:rFonts w:ascii="Times New Roman" w:hAnsi="Times New Roman" w:eastAsia="仿宋_GB2312" w:cs="Times New Roman"/>
          <w:sz w:val="32"/>
          <w:szCs w:val="32"/>
        </w:rPr>
        <w:t>无收支及结转结余情况，故</w:t>
      </w:r>
      <w:r>
        <w:rPr>
          <w:rFonts w:hint="eastAsia" w:ascii="方正仿宋_GB2312" w:hAnsi="方正仿宋_GB2312" w:eastAsia="方正仿宋_GB2312" w:cs="方正仿宋_GB2312"/>
          <w:bCs/>
          <w:sz w:val="32"/>
          <w:szCs w:val="32"/>
        </w:rPr>
        <w:t>政府性基金预算财政拨款收入支出决算</w:t>
      </w:r>
      <w:r>
        <w:rPr>
          <w:rFonts w:ascii="Times New Roman" w:hAnsi="Times New Roman" w:eastAsia="仿宋_GB2312" w:cs="Times New Roman"/>
          <w:sz w:val="32"/>
          <w:szCs w:val="32"/>
        </w:rPr>
        <w:t>表以空表列示。</w:t>
      </w:r>
      <w:r>
        <w:rPr>
          <w:rFonts w:hint="eastAsia" w:ascii="方正仿宋_GB2312" w:hAnsi="方正仿宋_GB2312" w:eastAsia="方正仿宋_GB2312" w:cs="方正仿宋_GB2312"/>
          <w:bCs/>
          <w:sz w:val="32"/>
          <w:szCs w:val="32"/>
        </w:rPr>
        <w:t>国有资本经营预算财政拨款</w:t>
      </w:r>
      <w:r>
        <w:rPr>
          <w:rFonts w:ascii="Times New Roman" w:hAnsi="Times New Roman" w:eastAsia="仿宋_GB2312" w:cs="Times New Roman"/>
          <w:sz w:val="32"/>
          <w:szCs w:val="32"/>
        </w:rPr>
        <w:t>无收支及结转结余情况，故</w:t>
      </w:r>
      <w:r>
        <w:rPr>
          <w:rFonts w:hint="eastAsia" w:ascii="方正仿宋_GB2312" w:hAnsi="方正仿宋_GB2312" w:eastAsia="方正仿宋_GB2312" w:cs="方正仿宋_GB2312"/>
          <w:bCs/>
          <w:sz w:val="32"/>
          <w:szCs w:val="32"/>
        </w:rPr>
        <w:t>国有资本经营预算财政拨款支出决算表</w:t>
      </w:r>
      <w:r>
        <w:rPr>
          <w:rFonts w:ascii="Times New Roman" w:hAnsi="Times New Roman" w:eastAsia="仿宋_GB2312" w:cs="Times New Roman"/>
          <w:sz w:val="32"/>
          <w:szCs w:val="32"/>
        </w:rPr>
        <w:t>以空表列示。</w:t>
      </w:r>
    </w:p>
    <w:p>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adjustRightInd w:val="0"/>
        <w:snapToGrid w:val="0"/>
        <w:spacing w:line="580" w:lineRule="exact"/>
        <w:ind w:firstLine="640" w:firstLineChars="200"/>
        <w:rPr>
          <w:rFonts w:ascii="Times New Roman" w:hAnsi="Times New Roman" w:eastAsia="仿宋_GB2312" w:cs="Times New Roman"/>
          <w:sz w:val="32"/>
          <w:szCs w:val="32"/>
        </w:rPr>
      </w:pPr>
    </w:p>
    <w:p>
      <w:pPr>
        <w:widowControl/>
        <w:spacing w:line="580" w:lineRule="exact"/>
        <w:ind w:firstLine="883" w:firstLineChars="200"/>
        <w:jc w:val="left"/>
        <w:rPr>
          <w:rFonts w:ascii="Times New Roman" w:hAnsi="Times New Roman" w:eastAsia="宋体" w:cs="Times New Roman"/>
          <w:b/>
          <w:bCs/>
          <w:sz w:val="44"/>
          <w:szCs w:val="44"/>
        </w:rPr>
      </w:pPr>
    </w:p>
    <w:p>
      <w:pPr>
        <w:rPr>
          <w:rFonts w:ascii="Times New Roman" w:hAnsi="Times New Roman" w:eastAsia="仿宋_GB2312" w:cs="Times New Roman"/>
          <w:sz w:val="32"/>
          <w:szCs w:val="32"/>
        </w:rPr>
      </w:pPr>
    </w:p>
    <w:p>
      <w:pPr>
        <w:widowControl/>
        <w:jc w:val="center"/>
        <w:rPr>
          <w:rFonts w:ascii="Times New Roman" w:hAnsi="Times New Roman" w:eastAsia="黑体" w:cs="Times New Roman"/>
          <w:color w:val="000000" w:themeColor="text1"/>
          <w:sz w:val="44"/>
          <w:szCs w:val="44"/>
        </w:rPr>
      </w:pPr>
    </w:p>
    <w:p>
      <w:pPr>
        <w:widowControl/>
        <w:jc w:val="center"/>
        <w:rPr>
          <w:rFonts w:ascii="Times New Roman" w:hAnsi="Times New Roman" w:eastAsia="黑体" w:cs="Times New Roman"/>
          <w:color w:val="000000" w:themeColor="text1"/>
          <w:sz w:val="44"/>
          <w:szCs w:val="44"/>
        </w:rPr>
      </w:pPr>
      <w:r>
        <w:rPr>
          <w:rFonts w:ascii="Times New Roman" w:hAnsi="Times New Roman" w:eastAsia="黑体" w:cs="Times New Roman"/>
          <w:color w:val="000000" w:themeColor="text1"/>
          <w:sz w:val="44"/>
          <w:szCs w:val="44"/>
        </w:rPr>
        <w:t>第四部分 名词解释</w:t>
      </w:r>
    </w:p>
    <w:p>
      <w:pPr>
        <w:rPr>
          <w:rFonts w:ascii="Times New Roman" w:hAnsi="Times New Roman" w:eastAsia="黑体" w:cs="Times New Roman"/>
          <w:color w:val="000000" w:themeColor="text1"/>
          <w:sz w:val="44"/>
          <w:szCs w:val="44"/>
        </w:rPr>
      </w:pPr>
      <w:r>
        <w:rPr>
          <w:rFonts w:ascii="Times New Roman" w:hAnsi="Times New Roman" w:eastAsia="黑体" w:cs="Times New Roman"/>
          <w:color w:val="000000" w:themeColor="text1"/>
          <w:sz w:val="44"/>
          <w:szCs w:val="44"/>
        </w:rPr>
        <w:br w:type="page"/>
      </w:r>
    </w:p>
    <w:p>
      <w:pPr>
        <w:widowControl/>
        <w:jc w:val="center"/>
        <w:rPr>
          <w:rFonts w:ascii="Times New Roman" w:hAnsi="Times New Roman" w:eastAsia="黑体" w:cs="Times New Roman"/>
          <w:color w:val="000000" w:themeColor="text1"/>
          <w:sz w:val="44"/>
          <w:szCs w:val="44"/>
        </w:rPr>
      </w:pP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一、</w:t>
      </w:r>
      <w:r>
        <w:rPr>
          <w:rFonts w:ascii="Times New Roman" w:hAnsi="Times New Roman" w:eastAsia="仿宋_GB2312" w:cs="Times New Roman"/>
          <w:b/>
          <w:bCs/>
          <w:color w:val="000000"/>
          <w:sz w:val="32"/>
          <w:szCs w:val="32"/>
        </w:rPr>
        <w:t>财政拨款收入：</w:t>
      </w:r>
      <w:r>
        <w:rPr>
          <w:rFonts w:ascii="Times New Roman" w:hAnsi="Times New Roman" w:eastAsia="仿宋_GB2312" w:cs="Times New Roman"/>
          <w:bCs/>
          <w:color w:val="000000"/>
          <w:sz w:val="32"/>
          <w:szCs w:val="32"/>
        </w:rPr>
        <w:t>指单位从同级财政部门取得的财政预算资金。</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二、</w:t>
      </w:r>
      <w:r>
        <w:rPr>
          <w:rFonts w:ascii="Times New Roman" w:hAnsi="Times New Roman" w:eastAsia="仿宋_GB2312" w:cs="Times New Roman"/>
          <w:b/>
          <w:bCs/>
          <w:color w:val="000000"/>
          <w:sz w:val="32"/>
          <w:szCs w:val="32"/>
        </w:rPr>
        <w:t>事业收入：</w:t>
      </w:r>
      <w:r>
        <w:rPr>
          <w:rFonts w:ascii="Times New Roman" w:hAnsi="Times New Roman" w:eastAsia="仿宋_GB2312" w:cs="Times New Roman"/>
          <w:bCs/>
          <w:color w:val="000000"/>
          <w:sz w:val="32"/>
          <w:szCs w:val="32"/>
        </w:rPr>
        <w:t>指事业单位开展专业业务活动及辅助活动取得的收入。</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三、</w:t>
      </w:r>
      <w:r>
        <w:rPr>
          <w:rFonts w:ascii="Times New Roman" w:hAnsi="Times New Roman" w:eastAsia="仿宋_GB2312" w:cs="Times New Roman"/>
          <w:b/>
          <w:bCs/>
          <w:color w:val="000000"/>
          <w:sz w:val="32"/>
          <w:szCs w:val="32"/>
        </w:rPr>
        <w:t>经营收入：</w:t>
      </w:r>
      <w:r>
        <w:rPr>
          <w:rFonts w:ascii="Times New Roman" w:hAnsi="Times New Roman" w:eastAsia="仿宋_GB2312" w:cs="Times New Roman"/>
          <w:bCs/>
          <w:color w:val="000000"/>
          <w:sz w:val="32"/>
          <w:szCs w:val="32"/>
        </w:rPr>
        <w:t>指事业单位在专业业务活动及其辅助活动之外开展非独立核算经营活动取得的收入。</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四、</w:t>
      </w:r>
      <w:r>
        <w:rPr>
          <w:rFonts w:ascii="Times New Roman" w:hAnsi="Times New Roman" w:eastAsia="仿宋_GB2312" w:cs="Times New Roman"/>
          <w:b/>
          <w:bCs/>
          <w:color w:val="000000"/>
          <w:sz w:val="32"/>
          <w:szCs w:val="32"/>
        </w:rPr>
        <w:t>其他收入：</w:t>
      </w:r>
      <w:r>
        <w:rPr>
          <w:rFonts w:ascii="Times New Roman" w:hAnsi="Times New Roman" w:eastAsia="仿宋_GB2312" w:cs="Times New Roman"/>
          <w:bCs/>
          <w:color w:val="000000"/>
          <w:sz w:val="32"/>
          <w:szCs w:val="32"/>
        </w:rPr>
        <w:t>指单位取得的除上述收入以外的各项收</w:t>
      </w:r>
    </w:p>
    <w:p>
      <w:pPr>
        <w:spacing w:line="580" w:lineRule="exact"/>
        <w:rPr>
          <w:rFonts w:ascii="Times New Roman" w:hAnsi="Times New Roman" w:eastAsia="仿宋_GB2312" w:cs="Times New Roman"/>
          <w:b/>
          <w:bCs/>
          <w:color w:val="000000"/>
          <w:sz w:val="32"/>
          <w:szCs w:val="32"/>
        </w:rPr>
      </w:pPr>
      <w:r>
        <w:rPr>
          <w:rFonts w:ascii="Times New Roman" w:hAnsi="Times New Roman" w:eastAsia="仿宋_GB2312" w:cs="Times New Roman"/>
          <w:bCs/>
          <w:color w:val="000000"/>
          <w:sz w:val="32"/>
          <w:szCs w:val="32"/>
        </w:rPr>
        <w:t>入。主要是事业单位固定资产出租收入、存款利息收入等。</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五、</w:t>
      </w:r>
      <w:r>
        <w:rPr>
          <w:rFonts w:ascii="Times New Roman" w:hAnsi="Times New Roman" w:eastAsia="仿宋_GB2312" w:cs="Times New Roman"/>
          <w:b/>
          <w:bCs/>
          <w:color w:val="000000"/>
          <w:sz w:val="32"/>
          <w:szCs w:val="32"/>
        </w:rPr>
        <w:t>使用非财政拨款结余（含专用结余）：</w:t>
      </w:r>
      <w:r>
        <w:rPr>
          <w:rFonts w:ascii="Times New Roman" w:hAnsi="Times New Roman" w:eastAsia="仿宋_GB2312" w:cs="Times New Roman"/>
          <w:bCs/>
          <w:color w:val="000000"/>
          <w:sz w:val="32"/>
          <w:szCs w:val="32"/>
        </w:rPr>
        <w:t>指事业单位按照预算管理要求使用非财政拨款结余弥补收支差额的金额，以及使用专用结余安排支出的金额。</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六、</w:t>
      </w:r>
      <w:r>
        <w:rPr>
          <w:rFonts w:ascii="Times New Roman" w:hAnsi="Times New Roman" w:eastAsia="仿宋_GB2312" w:cs="Times New Roman"/>
          <w:b/>
          <w:bCs/>
          <w:color w:val="000000"/>
          <w:sz w:val="32"/>
          <w:szCs w:val="32"/>
        </w:rPr>
        <w:t>年初结转和结余：</w:t>
      </w:r>
      <w:r>
        <w:rPr>
          <w:rFonts w:ascii="Times New Roman" w:hAnsi="Times New Roman" w:eastAsia="仿宋_GB2312" w:cs="Times New Roman"/>
          <w:bCs/>
          <w:color w:val="000000"/>
          <w:sz w:val="32"/>
          <w:szCs w:val="32"/>
        </w:rPr>
        <w:t>指单位以前年度尚未完成、结转到本年仍按原规定用途继续使用的资金，或项目已完成等产生的结余资金。</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七、</w:t>
      </w:r>
      <w:r>
        <w:rPr>
          <w:rFonts w:ascii="Times New Roman" w:hAnsi="Times New Roman" w:eastAsia="仿宋_GB2312" w:cs="Times New Roman"/>
          <w:b/>
          <w:bCs/>
          <w:color w:val="000000"/>
          <w:sz w:val="32"/>
          <w:szCs w:val="32"/>
        </w:rPr>
        <w:t>结余分配：</w:t>
      </w:r>
      <w:r>
        <w:rPr>
          <w:rFonts w:ascii="Times New Roman" w:hAnsi="Times New Roman" w:eastAsia="仿宋_GB2312" w:cs="Times New Roman"/>
          <w:bCs/>
          <w:color w:val="000000"/>
          <w:sz w:val="32"/>
          <w:szCs w:val="32"/>
        </w:rPr>
        <w:t>指事业单位按照会计制度规定缴纳的所得税、提取的专用结余以及转入非财政拨款结余的金额等。</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八、</w:t>
      </w:r>
      <w:r>
        <w:rPr>
          <w:rFonts w:ascii="Times New Roman" w:hAnsi="Times New Roman" w:eastAsia="仿宋_GB2312" w:cs="Times New Roman"/>
          <w:b/>
          <w:bCs/>
          <w:color w:val="000000"/>
          <w:sz w:val="32"/>
          <w:szCs w:val="32"/>
        </w:rPr>
        <w:t>年末结转和结余：</w:t>
      </w:r>
      <w:r>
        <w:rPr>
          <w:rFonts w:ascii="Times New Roman" w:hAnsi="Times New Roman" w:eastAsia="仿宋_GB2312" w:cs="Times New Roman"/>
          <w:bCs/>
          <w:color w:val="000000"/>
          <w:sz w:val="32"/>
          <w:szCs w:val="32"/>
        </w:rPr>
        <w:t>指单位按有关规定结转到下年或以后年度继续使用的资金，或项目已完成等产生的结余资金。</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九、</w:t>
      </w:r>
      <w:r>
        <w:rPr>
          <w:rFonts w:ascii="Times New Roman" w:hAnsi="Times New Roman" w:eastAsia="仿宋_GB2312" w:cs="Times New Roman"/>
          <w:b/>
          <w:bCs/>
          <w:color w:val="000000"/>
          <w:sz w:val="32"/>
          <w:szCs w:val="32"/>
        </w:rPr>
        <w:t>基本支出：</w:t>
      </w:r>
      <w:r>
        <w:rPr>
          <w:rFonts w:ascii="Times New Roman" w:hAnsi="Times New Roman" w:eastAsia="仿宋_GB2312" w:cs="Times New Roman"/>
          <w:bCs/>
          <w:color w:val="000000"/>
          <w:sz w:val="32"/>
          <w:szCs w:val="32"/>
        </w:rPr>
        <w:t>指为保障机构正常运转、完成日常工作任务而发生的人员支出和公用支出。</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w:t>
      </w:r>
      <w:r>
        <w:rPr>
          <w:rFonts w:ascii="Times New Roman" w:hAnsi="Times New Roman" w:eastAsia="仿宋_GB2312" w:cs="Times New Roman"/>
          <w:b/>
          <w:bCs/>
          <w:color w:val="000000"/>
          <w:sz w:val="32"/>
          <w:szCs w:val="32"/>
        </w:rPr>
        <w:t>项目支出：</w:t>
      </w:r>
      <w:r>
        <w:rPr>
          <w:rFonts w:ascii="Times New Roman" w:hAnsi="Times New Roman" w:eastAsia="仿宋_GB2312" w:cs="Times New Roman"/>
          <w:color w:val="000000"/>
          <w:sz w:val="32"/>
          <w:szCs w:val="32"/>
        </w:rPr>
        <w:t>指在基本支出之外为完成特定行政任务和事业发展目标所发生的支出。</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十一、</w:t>
      </w:r>
      <w:r>
        <w:rPr>
          <w:rFonts w:ascii="Times New Roman" w:hAnsi="Times New Roman" w:eastAsia="仿宋_GB2312" w:cs="Times New Roman"/>
          <w:b/>
          <w:bCs/>
          <w:color w:val="000000"/>
          <w:sz w:val="32"/>
          <w:szCs w:val="32"/>
        </w:rPr>
        <w:t>经营支出 ：</w:t>
      </w:r>
      <w:r>
        <w:rPr>
          <w:rFonts w:ascii="Times New Roman" w:hAnsi="Times New Roman" w:eastAsia="仿宋_GB2312" w:cs="Times New Roman"/>
          <w:color w:val="000000"/>
          <w:sz w:val="32"/>
          <w:szCs w:val="32"/>
        </w:rPr>
        <w:t>指事业单位在专业业务活动及其辅助活动之外开展非独立核算经营活动发生的支出。</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十二、</w:t>
      </w:r>
      <w:r>
        <w:rPr>
          <w:rFonts w:ascii="Times New Roman" w:hAnsi="Times New Roman" w:eastAsia="仿宋_GB2312" w:cs="Times New Roman"/>
          <w:b/>
          <w:bCs/>
          <w:color w:val="000000"/>
          <w:sz w:val="32"/>
          <w:szCs w:val="32"/>
        </w:rPr>
        <w:t>基本建设支出：</w:t>
      </w:r>
      <w:r>
        <w:rPr>
          <w:rFonts w:ascii="Times New Roman" w:hAnsi="Times New Roman" w:eastAsia="仿宋_GB2312" w:cs="Times New Roman"/>
          <w:color w:val="00000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ascii="Times New Roman" w:hAnsi="Times New Roman" w:eastAsia="仿宋_GB2312" w:cs="Times New Roman"/>
          <w:b/>
          <w:bCs/>
          <w:color w:val="000000"/>
          <w:sz w:val="32"/>
          <w:szCs w:val="32"/>
        </w:rPr>
      </w:pPr>
      <w:r>
        <w:rPr>
          <w:rFonts w:hint="eastAsia" w:ascii="Times New Roman" w:hAnsi="Times New Roman" w:eastAsia="仿宋_GB2312" w:cs="Times New Roman"/>
          <w:b/>
          <w:bCs/>
          <w:color w:val="000000"/>
          <w:sz w:val="32"/>
          <w:szCs w:val="32"/>
        </w:rPr>
        <w:t>十三、</w:t>
      </w:r>
      <w:r>
        <w:rPr>
          <w:rFonts w:ascii="Times New Roman" w:hAnsi="Times New Roman" w:eastAsia="仿宋_GB2312" w:cs="Times New Roman"/>
          <w:b/>
          <w:bCs/>
          <w:color w:val="000000"/>
          <w:sz w:val="32"/>
          <w:szCs w:val="32"/>
        </w:rPr>
        <w:t>其他资本性支出：</w:t>
      </w:r>
      <w:r>
        <w:rPr>
          <w:rFonts w:ascii="Times New Roman" w:hAnsi="Times New Roman" w:eastAsia="仿宋_GB2312" w:cs="Times New Roman"/>
          <w:color w:val="00000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十四、</w:t>
      </w:r>
      <w:r>
        <w:rPr>
          <w:rFonts w:ascii="Times New Roman" w:hAnsi="Times New Roman" w:eastAsia="仿宋_GB2312" w:cs="Times New Roman"/>
          <w:b/>
          <w:bCs/>
          <w:color w:val="000000"/>
          <w:sz w:val="32"/>
          <w:szCs w:val="32"/>
        </w:rPr>
        <w:t>“三公”经费：</w:t>
      </w:r>
      <w:r>
        <w:rPr>
          <w:rFonts w:ascii="Times New Roman" w:hAnsi="Times New Roman" w:eastAsia="仿宋_GB2312" w:cs="Times New Roman"/>
          <w:color w:val="00000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十五、</w:t>
      </w:r>
      <w:r>
        <w:rPr>
          <w:rFonts w:ascii="Times New Roman" w:hAnsi="Times New Roman" w:eastAsia="仿宋_GB2312" w:cs="Times New Roman"/>
          <w:b/>
          <w:bCs/>
          <w:color w:val="000000"/>
          <w:sz w:val="32"/>
          <w:szCs w:val="32"/>
        </w:rPr>
        <w:t>其他交通费用：</w:t>
      </w:r>
      <w:r>
        <w:rPr>
          <w:rFonts w:ascii="Times New Roman" w:hAnsi="Times New Roman" w:eastAsia="仿宋_GB2312" w:cs="Times New Roman"/>
          <w:color w:val="00000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十六、</w:t>
      </w:r>
      <w:r>
        <w:rPr>
          <w:rFonts w:ascii="Times New Roman" w:hAnsi="Times New Roman" w:eastAsia="仿宋_GB2312" w:cs="Times New Roman"/>
          <w:b/>
          <w:bCs/>
          <w:color w:val="000000"/>
          <w:sz w:val="32"/>
          <w:szCs w:val="32"/>
        </w:rPr>
        <w:t>公务用车购置：</w:t>
      </w:r>
      <w:r>
        <w:rPr>
          <w:rFonts w:ascii="Times New Roman" w:hAnsi="Times New Roman" w:eastAsia="仿宋_GB2312" w:cs="Times New Roman"/>
          <w:color w:val="000000"/>
          <w:sz w:val="32"/>
          <w:szCs w:val="32"/>
        </w:rPr>
        <w:t>填列单位公务用车车辆购置支出（含车辆购置税、牌照费）。</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十七、</w:t>
      </w:r>
      <w:r>
        <w:rPr>
          <w:rFonts w:ascii="Times New Roman" w:hAnsi="Times New Roman" w:eastAsia="仿宋_GB2312" w:cs="Times New Roman"/>
          <w:b/>
          <w:bCs/>
          <w:color w:val="000000"/>
          <w:sz w:val="32"/>
          <w:szCs w:val="32"/>
        </w:rPr>
        <w:t>其他交通工具购置：</w:t>
      </w:r>
      <w:r>
        <w:rPr>
          <w:rFonts w:ascii="Times New Roman" w:hAnsi="Times New Roman" w:eastAsia="仿宋_GB2312" w:cs="Times New Roman"/>
          <w:color w:val="000000"/>
          <w:sz w:val="32"/>
          <w:szCs w:val="32"/>
        </w:rPr>
        <w:t>填列单位除公务用车外的其他各类交通工具（如船舶、飞机等）购置支出（含车辆购置税、牌照费）。</w:t>
      </w:r>
    </w:p>
    <w:p>
      <w:pPr>
        <w:widowControl/>
        <w:spacing w:line="560" w:lineRule="exact"/>
        <w:ind w:firstLine="643"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十八、机关运行经费：</w:t>
      </w:r>
      <w:r>
        <w:rPr>
          <w:rFonts w:ascii="Times New Roman" w:hAnsi="Times New Roman" w:eastAsia="仿宋_GB2312" w:cs="Times New Roman"/>
          <w:color w:val="00000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color w:val="000000"/>
          <w:sz w:val="32"/>
          <w:szCs w:val="32"/>
        </w:rPr>
        <w:t>十九、经费形式:</w:t>
      </w:r>
      <w:r>
        <w:rPr>
          <w:rFonts w:ascii="Times New Roman" w:hAnsi="Times New Roman" w:eastAsia="仿宋_GB2312" w:cs="Times New Roman"/>
          <w:color w:val="000000"/>
          <w:sz w:val="32"/>
          <w:szCs w:val="32"/>
        </w:rPr>
        <w:t>按照经费来源，</w:t>
      </w:r>
      <w:r>
        <w:rPr>
          <w:rFonts w:ascii="Times New Roman" w:hAnsi="Times New Roman" w:eastAsia="仿宋_GB2312" w:cs="Times New Roman"/>
          <w:sz w:val="32"/>
          <w:szCs w:val="32"/>
        </w:rPr>
        <w:t>可分为财政拨款、财政性资金基本保证、财政性资金定额或定项补助、财政性资金零补助四类</w:t>
      </w:r>
      <w:r>
        <w:rPr>
          <w:rFonts w:hint="eastAsia" w:ascii="Times New Roman" w:hAnsi="Times New Roman" w:eastAsia="仿宋_GB2312" w:cs="Times New Roman"/>
          <w:sz w:val="32"/>
          <w:szCs w:val="32"/>
        </w:rPr>
        <w:t>。</w:t>
      </w:r>
    </w:p>
    <w:p>
      <w:pPr>
        <w:rPr>
          <w:rFonts w:ascii="Times New Roman" w:hAnsi="Times New Roman" w:cs="Times New Roman"/>
        </w:rPr>
      </w:pPr>
    </w:p>
    <w:p>
      <w:pPr>
        <w:pStyle w:val="11"/>
        <w:widowControl/>
        <w:spacing w:beforeAutospacing="0" w:afterAutospacing="0"/>
        <w:rPr>
          <w:rFonts w:ascii="Times New Roman" w:hAnsi="Times New Roman" w:eastAsia="仿宋_GB2312"/>
          <w:color w:val="333333"/>
          <w:sz w:val="33"/>
          <w:szCs w:val="33"/>
          <w:shd w:val="clear" w:color="auto" w:fill="FFFFFF"/>
        </w:rPr>
      </w:pPr>
    </w:p>
    <w:p>
      <w:pPr>
        <w:rPr>
          <w:rFonts w:ascii="Times New Roman" w:hAnsi="Times New Roman" w:eastAsia="仿宋_GB2312" w:cs="Times New Roman"/>
          <w:color w:val="333333"/>
          <w:sz w:val="33"/>
          <w:szCs w:val="33"/>
          <w:shd w:val="clear" w:color="auto"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D530866E-FA3B-4244-8511-FE5F1497145C}"/>
  </w:font>
  <w:font w:name="黑体">
    <w:panose1 w:val="02010609060101010101"/>
    <w:charset w:val="86"/>
    <w:family w:val="auto"/>
    <w:pitch w:val="default"/>
    <w:sig w:usb0="800002BF" w:usb1="38CF7CFA" w:usb2="00000016" w:usb3="00000000" w:csb0="00040001" w:csb1="00000000"/>
    <w:embedRegular r:id="rId2" w:fontKey="{4CD4FF1B-0632-44F1-8A32-68B259298C1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D7632071-3523-4B9C-B92D-0B06AAFC8C8F}"/>
  </w:font>
  <w:font w:name="仿宋">
    <w:panose1 w:val="02010609060101010101"/>
    <w:charset w:val="86"/>
    <w:family w:val="modern"/>
    <w:pitch w:val="default"/>
    <w:sig w:usb0="800002BF" w:usb1="38CF7CFA" w:usb2="00000016" w:usb3="00000000" w:csb0="00040001" w:csb1="00000000"/>
    <w:embedRegular r:id="rId4" w:fontKey="{DC4F4C54-503E-490A-8878-9A730DB499C0}"/>
  </w:font>
  <w:font w:name="Calibri Light">
    <w:panose1 w:val="020F0302020204030204"/>
    <w:charset w:val="00"/>
    <w:family w:val="swiss"/>
    <w:pitch w:val="default"/>
    <w:sig w:usb0="A00002EF" w:usb1="4000207B" w:usb2="00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方正仿宋_GBK">
    <w:altName w:val="Arial Unicode MS"/>
    <w:panose1 w:val="03000509000000000000"/>
    <w:charset w:val="86"/>
    <w:family w:val="roman"/>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embedRegular r:id="rId5" w:fontKey="{154E3C94-7FEF-4661-B08E-F2B46BECB9AA}"/>
  </w:font>
  <w:font w:name="方正魏碑简体">
    <w:altName w:val="微软雅黑"/>
    <w:panose1 w:val="00000000000000000000"/>
    <w:charset w:val="86"/>
    <w:family w:val="auto"/>
    <w:pitch w:val="default"/>
    <w:sig w:usb0="00000000" w:usb1="00000000" w:usb2="00000010" w:usb3="00000000" w:csb0="00040000" w:csb1="00000000"/>
    <w:embedRegular r:id="rId6" w:fontKey="{9453ADB2-5E34-4B41-BB51-B227D1A07CDE}"/>
  </w:font>
  <w:font w:name="微软雅黑">
    <w:panose1 w:val="020B0503020204020204"/>
    <w:charset w:val="86"/>
    <w:family w:val="auto"/>
    <w:pitch w:val="default"/>
    <w:sig w:usb0="80000287" w:usb1="280F3C52" w:usb2="00000016" w:usb3="00000000" w:csb0="0004001F" w:csb1="00000000"/>
  </w:font>
  <w:font w:name="思源黑体 CN Heavy">
    <w:altName w:val="黑体"/>
    <w:panose1 w:val="00000000000000000000"/>
    <w:charset w:val="86"/>
    <w:family w:val="swiss"/>
    <w:pitch w:val="default"/>
    <w:sig w:usb0="00000000" w:usb1="00000000" w:usb2="00000016" w:usb3="00000000" w:csb0="00060107" w:csb1="00000000"/>
    <w:embedRegular r:id="rId7" w:fontKey="{B0580B21-FC6B-431E-9F7B-82542ECE5C72}"/>
  </w:font>
  <w:font w:name="楷体_GB2312">
    <w:panose1 w:val="02010609030101010101"/>
    <w:charset w:val="86"/>
    <w:family w:val="modern"/>
    <w:pitch w:val="default"/>
    <w:sig w:usb0="00000001" w:usb1="080E0000" w:usb2="00000000" w:usb3="00000000" w:csb0="00040000" w:csb1="00000000"/>
    <w:embedRegular r:id="rId8" w:fontKey="{25B23AEC-A5D9-4AAE-A0C3-D61BB9EEFB88}"/>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9" w:fontKey="{363C5B74-B40D-4797-845E-5A9451314AA9}"/>
  </w:font>
  <w:font w:name="ArialUnicodeMS">
    <w:altName w:val="Malgun Gothic"/>
    <w:panose1 w:val="00000000000000000000"/>
    <w:charset w:val="81"/>
    <w:family w:val="auto"/>
    <w:pitch w:val="default"/>
    <w:sig w:usb0="00000000" w:usb1="00000000" w:usb2="00000010" w:usb3="00000000" w:csb0="00080001" w:csb1="00000000"/>
    <w:embedRegular r:id="rId10" w:fontKey="{372C0D61-7396-4BC7-91DF-F84F62E7D0C5}"/>
  </w:font>
  <w:font w:name="Malgun Gothic">
    <w:panose1 w:val="020B0503020000020004"/>
    <w:charset w:val="81"/>
    <w:family w:val="auto"/>
    <w:pitch w:val="default"/>
    <w:sig w:usb0="900002AF" w:usb1="01D77CFB" w:usb2="00000012" w:usb3="00000000" w:csb0="00080001" w:csb1="00000000"/>
  </w:font>
  <w:font w:name="方正仿宋_GB2312">
    <w:altName w:val="仿宋"/>
    <w:panose1 w:val="00000000000000000000"/>
    <w:charset w:val="86"/>
    <w:family w:val="auto"/>
    <w:pitch w:val="default"/>
    <w:sig w:usb0="00000000" w:usb1="00000000" w:usb2="00000000" w:usb3="00000000" w:csb0="00000000" w:csb1="00000000"/>
    <w:embedRegular r:id="rId11" w:fontKey="{7237FF44-234E-43C5-AFAD-9E99B2E4EAEA}"/>
  </w:font>
  <w:font w:name="___WRD_EMBED_SUB_47">
    <w:altName w:val="宋体"/>
    <w:panose1 w:val="02000000000000000000"/>
    <w:charset w:val="86"/>
    <w:family w:val="auto"/>
    <w:pitch w:val="default"/>
    <w:sig w:usb0="00000000" w:usb1="00000000" w:usb2="00000000" w:usb3="00000000" w:csb0="00000000" w:csb1="00000000"/>
    <w:embedRegular r:id="rId12" w:fontKey="{5EA20A3E-5689-49CC-AB0E-51C6AD0AD5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74072848"/>
      <w:docPartObj>
        <w:docPartGallery w:val="autotext"/>
      </w:docPartObj>
    </w:sdtPr>
    <w:sdtContent>
      <w:p>
        <w:pPr>
          <w:pStyle w:val="9"/>
          <w:jc w:val="center"/>
        </w:pPr>
        <w:r>
          <w:fldChar w:fldCharType="begin"/>
        </w:r>
        <w:r>
          <w:instrText xml:space="preserve"> PAGE   \* MERGEFORMAT </w:instrText>
        </w:r>
        <w:r>
          <w:fldChar w:fldCharType="separate"/>
        </w:r>
        <w:r>
          <w:rPr>
            <w:lang w:val="zh-CN"/>
          </w:rPr>
          <w:t>20</w:t>
        </w:r>
        <w:r>
          <w:rPr>
            <w:lang w:val="zh-CN"/>
          </w:rPr>
          <w:fldChar w:fldCharType="end"/>
        </w:r>
      </w:p>
    </w:sdtContent>
  </w:sdt>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23A984"/>
    <w:multiLevelType w:val="singleLevel"/>
    <w:tmpl w:val="1623A984"/>
    <w:lvl w:ilvl="0" w:tentative="0">
      <w:start w:val="3"/>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jb3VudCI6NzcsImhkaWQiOiJhNTNkYWYzYTFlMzM0MGIzNTg2NTQ1ZTJiOGE1ZGM0NyIsInVzZXJDb3VudCI6Mn0="/>
  </w:docVars>
  <w:rsids>
    <w:rsidRoot w:val="00142B3A"/>
    <w:rsid w:val="000027C4"/>
    <w:rsid w:val="00031102"/>
    <w:rsid w:val="00033668"/>
    <w:rsid w:val="00051EF9"/>
    <w:rsid w:val="00086151"/>
    <w:rsid w:val="000A6B3F"/>
    <w:rsid w:val="000F00AB"/>
    <w:rsid w:val="001161FA"/>
    <w:rsid w:val="00127CBE"/>
    <w:rsid w:val="00142B3A"/>
    <w:rsid w:val="001E3210"/>
    <w:rsid w:val="001F649D"/>
    <w:rsid w:val="00236F8C"/>
    <w:rsid w:val="0029188E"/>
    <w:rsid w:val="002B18B7"/>
    <w:rsid w:val="002B6CB2"/>
    <w:rsid w:val="003234CB"/>
    <w:rsid w:val="003C48B0"/>
    <w:rsid w:val="003D4C50"/>
    <w:rsid w:val="00400718"/>
    <w:rsid w:val="00400A34"/>
    <w:rsid w:val="00426059"/>
    <w:rsid w:val="00486031"/>
    <w:rsid w:val="00527EF4"/>
    <w:rsid w:val="0057763E"/>
    <w:rsid w:val="005A3CCB"/>
    <w:rsid w:val="005D630D"/>
    <w:rsid w:val="0060442D"/>
    <w:rsid w:val="00681C4A"/>
    <w:rsid w:val="007575A9"/>
    <w:rsid w:val="007C0EEB"/>
    <w:rsid w:val="00822154"/>
    <w:rsid w:val="0083257A"/>
    <w:rsid w:val="00856AB5"/>
    <w:rsid w:val="00857123"/>
    <w:rsid w:val="008E3270"/>
    <w:rsid w:val="00986D79"/>
    <w:rsid w:val="009F0A59"/>
    <w:rsid w:val="00A5540F"/>
    <w:rsid w:val="00B22083"/>
    <w:rsid w:val="00C65689"/>
    <w:rsid w:val="00C867B0"/>
    <w:rsid w:val="00CC2C8E"/>
    <w:rsid w:val="00CE3CFB"/>
    <w:rsid w:val="00E45BDC"/>
    <w:rsid w:val="00E6015A"/>
    <w:rsid w:val="00F67BAC"/>
    <w:rsid w:val="00F91766"/>
    <w:rsid w:val="00F9432C"/>
    <w:rsid w:val="00F957AD"/>
    <w:rsid w:val="00FA3A0E"/>
    <w:rsid w:val="01A03C5A"/>
    <w:rsid w:val="01A5267D"/>
    <w:rsid w:val="01AF6A8D"/>
    <w:rsid w:val="024808A2"/>
    <w:rsid w:val="025C3821"/>
    <w:rsid w:val="02DA3B1B"/>
    <w:rsid w:val="02E57B4D"/>
    <w:rsid w:val="03450B90"/>
    <w:rsid w:val="037B12D4"/>
    <w:rsid w:val="03804D63"/>
    <w:rsid w:val="03FB73B0"/>
    <w:rsid w:val="049C1B9D"/>
    <w:rsid w:val="04BD008C"/>
    <w:rsid w:val="04C55939"/>
    <w:rsid w:val="04DA28BB"/>
    <w:rsid w:val="04F528BE"/>
    <w:rsid w:val="050E10CE"/>
    <w:rsid w:val="054F2DFB"/>
    <w:rsid w:val="05991C82"/>
    <w:rsid w:val="061416A9"/>
    <w:rsid w:val="061D60A6"/>
    <w:rsid w:val="06236884"/>
    <w:rsid w:val="06B07006"/>
    <w:rsid w:val="06FC7C2A"/>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866524"/>
    <w:rsid w:val="0E9268D3"/>
    <w:rsid w:val="0E957F1F"/>
    <w:rsid w:val="0F0E7284"/>
    <w:rsid w:val="0F28110F"/>
    <w:rsid w:val="0F37083F"/>
    <w:rsid w:val="0F891DB8"/>
    <w:rsid w:val="0FAA3B86"/>
    <w:rsid w:val="10191346"/>
    <w:rsid w:val="102A01A6"/>
    <w:rsid w:val="10754A6C"/>
    <w:rsid w:val="108B537D"/>
    <w:rsid w:val="10B11DB1"/>
    <w:rsid w:val="110B13EB"/>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D047C4"/>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D50E55"/>
    <w:rsid w:val="271A539C"/>
    <w:rsid w:val="274972D4"/>
    <w:rsid w:val="27AA3D97"/>
    <w:rsid w:val="280A3758"/>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FC0112"/>
    <w:rsid w:val="2F2B730D"/>
    <w:rsid w:val="2F782FD8"/>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997371"/>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953A6B"/>
    <w:rsid w:val="3DBB5979"/>
    <w:rsid w:val="3DD56F21"/>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9067B2F"/>
    <w:rsid w:val="491D379F"/>
    <w:rsid w:val="493E0C68"/>
    <w:rsid w:val="49677E31"/>
    <w:rsid w:val="496C2225"/>
    <w:rsid w:val="49AE2880"/>
    <w:rsid w:val="49F42EAF"/>
    <w:rsid w:val="4A337323"/>
    <w:rsid w:val="4A5B28DC"/>
    <w:rsid w:val="4AA06B93"/>
    <w:rsid w:val="4ADB18EB"/>
    <w:rsid w:val="4B370DFE"/>
    <w:rsid w:val="4B96118E"/>
    <w:rsid w:val="4BAE1B66"/>
    <w:rsid w:val="4BED4708"/>
    <w:rsid w:val="4BF133DC"/>
    <w:rsid w:val="4C507D4A"/>
    <w:rsid w:val="4CDF5563"/>
    <w:rsid w:val="4CFB2214"/>
    <w:rsid w:val="4D2207B5"/>
    <w:rsid w:val="4D2C4D26"/>
    <w:rsid w:val="4D335E0E"/>
    <w:rsid w:val="4D4E4EA3"/>
    <w:rsid w:val="4D861C0D"/>
    <w:rsid w:val="4D9A5B1B"/>
    <w:rsid w:val="4DA55D85"/>
    <w:rsid w:val="4DBB20DB"/>
    <w:rsid w:val="4DDC3F22"/>
    <w:rsid w:val="4DE66FB2"/>
    <w:rsid w:val="4E1040C7"/>
    <w:rsid w:val="4E1760BF"/>
    <w:rsid w:val="4E30647F"/>
    <w:rsid w:val="4EBA03C3"/>
    <w:rsid w:val="4EBC5459"/>
    <w:rsid w:val="4ED94CB0"/>
    <w:rsid w:val="4EEC2ED3"/>
    <w:rsid w:val="4F0E56EA"/>
    <w:rsid w:val="4F2367FE"/>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0E07AC"/>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830730"/>
    <w:rsid w:val="5BBB2DD6"/>
    <w:rsid w:val="5BE263B6"/>
    <w:rsid w:val="5C8E5C5A"/>
    <w:rsid w:val="5C965E61"/>
    <w:rsid w:val="5CF5796F"/>
    <w:rsid w:val="5D1D4073"/>
    <w:rsid w:val="5D242A11"/>
    <w:rsid w:val="5D9217C2"/>
    <w:rsid w:val="5DAD06BF"/>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6E8749F"/>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6182B"/>
    <w:rsid w:val="6A5E3B28"/>
    <w:rsid w:val="6A6B1EBE"/>
    <w:rsid w:val="6A8F43F7"/>
    <w:rsid w:val="6AD625F3"/>
    <w:rsid w:val="6B7218BE"/>
    <w:rsid w:val="6B750BA9"/>
    <w:rsid w:val="6BB93285"/>
    <w:rsid w:val="6BF750F8"/>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3177841"/>
    <w:rsid w:val="733774FE"/>
    <w:rsid w:val="73617E1B"/>
    <w:rsid w:val="736D7653"/>
    <w:rsid w:val="738035CB"/>
    <w:rsid w:val="73852C46"/>
    <w:rsid w:val="7396335C"/>
    <w:rsid w:val="73F46595"/>
    <w:rsid w:val="74283FA2"/>
    <w:rsid w:val="742C135B"/>
    <w:rsid w:val="74463733"/>
    <w:rsid w:val="748A2F40"/>
    <w:rsid w:val="74F85778"/>
    <w:rsid w:val="75272439"/>
    <w:rsid w:val="758F1E9B"/>
    <w:rsid w:val="75CE266B"/>
    <w:rsid w:val="76120141"/>
    <w:rsid w:val="768216BE"/>
    <w:rsid w:val="76C23B43"/>
    <w:rsid w:val="76FD6F97"/>
    <w:rsid w:val="770218E8"/>
    <w:rsid w:val="771C28C9"/>
    <w:rsid w:val="779469CE"/>
    <w:rsid w:val="77C875A5"/>
    <w:rsid w:val="78A27DF6"/>
    <w:rsid w:val="79285B3A"/>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Lines="50" w:line="578" w:lineRule="auto"/>
      <w:jc w:val="left"/>
      <w:outlineLvl w:val="0"/>
    </w:pPr>
    <w:rPr>
      <w:rFonts w:ascii="Times New Roman" w:hAnsi="Times New Roman" w:eastAsia="仿宋" w:cs="Times New Roman"/>
      <w:b/>
      <w:bCs/>
      <w:kern w:val="44"/>
      <w:sz w:val="36"/>
      <w:szCs w:val="44"/>
    </w:rPr>
  </w:style>
  <w:style w:type="paragraph" w:styleId="3">
    <w:name w:val="heading 2"/>
    <w:basedOn w:val="1"/>
    <w:next w:val="1"/>
    <w:link w:val="16"/>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Lines="50" w:afterLines="50" w:line="416" w:lineRule="auto"/>
      <w:outlineLvl w:val="2"/>
    </w:pPr>
    <w:rPr>
      <w:rFonts w:ascii="宋体" w:hAnsi="宋体" w:eastAsia="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ody Text"/>
    <w:basedOn w:val="1"/>
    <w:semiHidden/>
    <w:qFormat/>
    <w:uiPriority w:val="0"/>
    <w:rPr>
      <w:rFonts w:ascii="仿宋" w:hAnsi="仿宋" w:eastAsia="仿宋" w:cs="仿宋"/>
      <w:sz w:val="30"/>
      <w:szCs w:val="30"/>
      <w:lang w:val="en-US" w:eastAsia="en-US" w:bidi="ar-SA"/>
    </w:rPr>
  </w:style>
  <w:style w:type="paragraph" w:styleId="8">
    <w:name w:val="Balloon Text"/>
    <w:basedOn w:val="1"/>
    <w:link w:val="25"/>
    <w:unhideWhenUsed/>
    <w:qFormat/>
    <w:uiPriority w:val="99"/>
    <w:rPr>
      <w:rFonts w:cstheme="minorBidi"/>
      <w:kern w:val="2"/>
      <w:sz w:val="18"/>
      <w:szCs w:val="18"/>
    </w:rPr>
  </w:style>
  <w:style w:type="paragraph" w:styleId="9">
    <w:name w:val="footer"/>
    <w:basedOn w:val="1"/>
    <w:link w:val="17"/>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semiHidden/>
    <w:unhideWhenUsed/>
    <w:qFormat/>
    <w:uiPriority w:val="99"/>
    <w:pPr>
      <w:spacing w:beforeAutospacing="1" w:afterAutospacing="1"/>
      <w:jc w:val="left"/>
    </w:pPr>
    <w:rPr>
      <w:rFonts w:cs="Times New Roman"/>
    </w:rPr>
  </w:style>
  <w:style w:type="table" w:styleId="13">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customStyle="1" w:styleId="16">
    <w:name w:val="标题 2 Char"/>
    <w:link w:val="3"/>
    <w:qFormat/>
    <w:uiPriority w:val="0"/>
    <w:rPr>
      <w:rFonts w:ascii="Calibri Light" w:hAnsi="Calibri Light" w:eastAsia="宋体" w:cs="Times New Roman"/>
      <w:b/>
      <w:bCs/>
      <w:sz w:val="28"/>
      <w:szCs w:val="32"/>
    </w:rPr>
  </w:style>
  <w:style w:type="character" w:customStyle="1" w:styleId="17">
    <w:name w:val="页脚 Char"/>
    <w:basedOn w:val="14"/>
    <w:link w:val="9"/>
    <w:qFormat/>
    <w:uiPriority w:val="99"/>
    <w:rPr>
      <w:rFonts w:asciiTheme="minorHAnsi" w:hAnsiTheme="minorHAnsi" w:eastAsiaTheme="minorEastAsia" w:cstheme="minorBidi"/>
      <w:sz w:val="18"/>
      <w:szCs w:val="18"/>
      <w:lang w:val="en-US" w:eastAsia="zh-CN" w:bidi="ar-SA"/>
    </w:rPr>
  </w:style>
  <w:style w:type="character" w:customStyle="1" w:styleId="18">
    <w:name w:val="页眉 Char"/>
    <w:basedOn w:val="14"/>
    <w:link w:val="10"/>
    <w:qFormat/>
    <w:uiPriority w:val="0"/>
    <w:rPr>
      <w:rFonts w:asciiTheme="minorHAnsi" w:hAnsiTheme="minorHAnsi" w:eastAsiaTheme="minorEastAsia" w:cstheme="minorBidi"/>
      <w:sz w:val="18"/>
      <w:szCs w:val="18"/>
      <w:lang w:val="en-US" w:eastAsia="zh-CN" w:bidi="ar-SA"/>
    </w:rPr>
  </w:style>
  <w:style w:type="character" w:customStyle="1" w:styleId="19">
    <w:name w:val="font11"/>
    <w:basedOn w:val="14"/>
    <w:qFormat/>
    <w:uiPriority w:val="0"/>
    <w:rPr>
      <w:rFonts w:hint="eastAsia" w:ascii="宋体" w:hAnsi="宋体" w:eastAsia="宋体" w:cs="宋体"/>
      <w:color w:val="000000"/>
      <w:sz w:val="20"/>
      <w:szCs w:val="20"/>
      <w:u w:val="none"/>
      <w:lang w:val="en-US" w:eastAsia="zh-CN" w:bidi="ar-SA"/>
    </w:rPr>
  </w:style>
  <w:style w:type="character" w:customStyle="1" w:styleId="20">
    <w:name w:val="font01"/>
    <w:basedOn w:val="14"/>
    <w:qFormat/>
    <w:uiPriority w:val="0"/>
    <w:rPr>
      <w:rFonts w:hint="eastAsia" w:ascii="宋体" w:hAnsi="宋体" w:eastAsia="宋体" w:cs="宋体"/>
      <w:color w:val="000000"/>
      <w:sz w:val="22"/>
      <w:szCs w:val="22"/>
      <w:u w:val="none"/>
      <w:lang w:val="en-US" w:eastAsia="zh-CN" w:bidi="ar-SA"/>
    </w:rPr>
  </w:style>
  <w:style w:type="character" w:customStyle="1" w:styleId="21">
    <w:name w:val="font41"/>
    <w:basedOn w:val="14"/>
    <w:qFormat/>
    <w:uiPriority w:val="0"/>
    <w:rPr>
      <w:rFonts w:hint="eastAsia" w:ascii="宋体" w:hAnsi="宋体" w:eastAsia="宋体" w:cs="宋体"/>
      <w:color w:val="000000"/>
      <w:sz w:val="24"/>
      <w:szCs w:val="24"/>
      <w:u w:val="none"/>
      <w:lang w:val="en-US" w:eastAsia="zh-CN" w:bidi="ar-SA"/>
    </w:rPr>
  </w:style>
  <w:style w:type="character" w:customStyle="1" w:styleId="22">
    <w:name w:val="font3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9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51"/>
    <w:basedOn w:val="14"/>
    <w:qFormat/>
    <w:uiPriority w:val="0"/>
    <w:rPr>
      <w:rFonts w:hint="eastAsia" w:ascii="宋体" w:hAnsi="宋体" w:eastAsia="宋体" w:cs="宋体"/>
      <w:color w:val="000000"/>
      <w:sz w:val="24"/>
      <w:szCs w:val="24"/>
      <w:u w:val="none"/>
      <w:lang w:val="en-US" w:eastAsia="zh-CN" w:bidi="ar-SA"/>
    </w:rPr>
  </w:style>
  <w:style w:type="character" w:customStyle="1" w:styleId="25">
    <w:name w:val="批注框文本 Char"/>
    <w:basedOn w:val="14"/>
    <w:link w:val="8"/>
    <w:semiHidden/>
    <w:qFormat/>
    <w:uiPriority w:val="99"/>
    <w:rPr>
      <w:rFonts w:asciiTheme="minorHAnsi" w:hAnsiTheme="minorHAnsi" w:eastAsiaTheme="minorEastAsia" w:cstheme="minorBidi"/>
      <w:sz w:val="18"/>
      <w:szCs w:val="18"/>
      <w:lang w:val="en-US" w:eastAsia="zh-CN" w:bidi="ar-SA"/>
    </w:rPr>
  </w:style>
  <w:style w:type="paragraph" w:customStyle="1" w:styleId="26">
    <w:name w:val="插入文本样式-插入部门职责文件"/>
    <w:basedOn w:val="1"/>
    <w:qFormat/>
    <w:uiPriority w:val="0"/>
    <w:pPr>
      <w:widowControl/>
      <w:spacing w:line="500" w:lineRule="exact"/>
      <w:ind w:firstLine="560"/>
      <w:jc w:val="left"/>
    </w:pPr>
    <w:rPr>
      <w:rFonts w:ascii="Times New Roman" w:hAnsi="Times New Roman" w:eastAsia="方正仿宋_GBK" w:cs="Times New Roman"/>
      <w:sz w:val="28"/>
      <w:lang w:eastAsia="uk-U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1.sv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37"/>
    <customShpInfo spid="_x0000_s1026"/>
    <customShpInfo spid="_x0000_s1035"/>
    <customShpInfo spid="_x0000_s1034"/>
    <customShpInfo spid="_x0000_s1033"/>
    <customShpInfo spid="_x0000_s1027"/>
    <customShpInfo spid="_x0000_s1042"/>
    <customShpInfo spid="_x0000_s1032"/>
    <customShpInfo spid="_x0000_s1031"/>
    <customShpInfo spid="_x0000_s1030"/>
    <customShpInfo spid="_x0000_s1029"/>
    <customShpInfo spid="_x0000_s1028"/>
    <customShpInfo spid="_x0000_s1038"/>
    <customShpInfo spid="_x0000_s1039"/>
    <customShpInfo spid="_x0000_s1040"/>
    <customShpInfo spid="_x0000_s104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43</Pages>
  <Words>11566</Words>
  <Characters>13817</Characters>
  <Lines>37</Lines>
  <Paragraphs>30</Paragraphs>
  <TotalTime>4</TotalTime>
  <ScaleCrop>false</ScaleCrop>
  <LinksUpToDate>false</LinksUpToDate>
  <CharactersWithSpaces>14031</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2024-09-18T06:07:00Z</dcterms:created>
  <dc:creator>王明新TIAD</dc:creator>
  <cp:lastModifiedBy>Administrator</cp:lastModifiedBy>
  <cp:lastPrinted>2024-09-13T06:20:00Z</cp:lastPrinted>
  <dcterms:modified xsi:type="dcterms:W3CDTF">2024-09-27T08:42:17Z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E51992B9E4F1441CBC96F02734AA4F8B_13</vt:lpwstr>
  </property>
  <property fmtid="{D5CDD505-2E9C-101B-9397-08002B2CF9AE}" pid="4" name="KSOTemplateUUID">
    <vt:lpwstr>v1.0_mb_S7ajbG3IpAnL1wSthNCxfw==</vt:lpwstr>
  </property>
</Properties>
</file>