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r>
        <w:drawing>
          <wp:anchor distT="0" distB="0" distL="114300" distR="114300" simplePos="0" relativeHeight="251659264" behindDoc="1" locked="0" layoutInCell="1" allowOverlap="1">
            <wp:simplePos x="0" y="0"/>
            <wp:positionH relativeFrom="margin">
              <wp:posOffset>-2854960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bookmarkEnd w:id="0"/>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单位</w:t>
                          </w: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804001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：唐山市“一港双城”（城镇化）工作委员会办公室(本级)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1.代表市政府组织、协调、指导各相关部门和各县（市、区）推进“一港双城”建设各项工作，统筹谋划唐山港建设和市主城区、曹妃甸滨海新城的规划建设管理，推动落实“一港双城”发展战略。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2.研究拟定政策措施。组织开展城市发展方向的调查研究，提出城市发展、城市转型等方面的意见建议：负责研究建立全市“一港双城”建设政策体系，组织拟定指导“一港双城”建设全市性工作的政策措施；针对工作推进中存在的重大共性问题，组织或参与研究拟定具体政策措施；负责研究拟定“一港双城”建设资金运作的政策建议，推广采用市场化手段进行重点项目投融资；负责统筹推进全市工程建设项目审批制度改革工作，组织或参与研究拟定改革政策，指导协调督促改革措施落实；负责牵头推进全市城建系统体制机制改革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3.协调指导规划体系建设。围绕落实“一港双城”发展战略，协调自然资源和规划部门健全完善国土空间规划、控制性详细规划、专项规划、城市设计、建设导则等与之配套的规划体系；指导自然资源和规划、发展改革、生态环境等部门，统筹推进“多规合一”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4.统筹推进重点项目建设。围绕“一港双城”建设战略目标和市委、市政府工作部署，组织制定全市“一港双城”建设年度计划，组织或参与制定专项行动计划；指导各相关部门、各县（市、区）细化“一港双城”建设任务，协调推进工作落实。</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5.统筹推进重点片区开发建设。负责统筹市中心城区重点片区的整体性运作；统筹推进重点片区规划方案编制、棚户区改造、征收拆迁、市政配套基础设施建设等工作开展协调、指导重点片区土地收储、一级开发及医院、学校等公共服务设施建设；推动实施“封闭运行、独立核算、盈亏互补、自求平衡”的重点片区资金运作模式；承担唐山市站西片区开发建设指挥部办公室的日常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6.协调、督导、考核工作落实。协调解决全市“一港双城”建设工作推进过程中的重点难点问题；代表市政府建立“一港双城”建设工作督导、考核机制，制定督导、考核办法，组织对各相关部门、各县（市、区）“一港双城”建设目标任务落实情况进行督导、考核。</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7.协调推动招商引资工作。参与搭建全市“一港双城”招商引资平台，协调推进各县（市、区）“一港双城”招商引资工作开展。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8.统筹推进城市经济发展。统筹协调谋划城市经济发展方向，健全完善城市经济产业发展规划研究提出促进城市经济发展的政策措施建议；统筹研究确定城市经济年度重点项目并督促指导重点项目建设；指导和协调市中心城区城市经济招商引资工作；对年度城市经济发展目标实施情况进行督导调度、评价考核；承担市城市经济发展工作领导小组办公室的日常工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left"/>
        <w:textAlignment w:val="auto"/>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rPr>
              <w:t>1</w:t>
            </w:r>
          </w:p>
        </w:tc>
        <w:tc>
          <w:tcPr>
            <w:tcW w:w="3485" w:type="dxa"/>
            <w:vAlign w:val="center"/>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sz w:val="28"/>
                <w:szCs w:val="28"/>
              </w:rPr>
              <w:t>唐山市“一港双城”（城镇化）工作委员会办公室(本级)</w:t>
            </w:r>
          </w:p>
        </w:tc>
        <w:tc>
          <w:tcPr>
            <w:tcW w:w="244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rPr>
              <w:t>行政单位</w:t>
            </w:r>
          </w:p>
        </w:tc>
        <w:tc>
          <w:tcPr>
            <w:tcW w:w="2665" w:type="dxa"/>
            <w:vAlign w:val="center"/>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编制部门（单位）：唐山市“一港双城”（城镇化）工作委员会办公室(本级)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注：1.本表反映单位本年度的总收支和年末结转结余情况。2.本套报表金额转换时可能存在尾数误差。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编制部门（单位）：唐山市“一港双城”（城镇化）工作委员会办公室(本级)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863.40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863.40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进修及培训</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2050803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培训支出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0.41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33.80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0.11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751.54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编制部门（单位）：唐山市“一港双城”（城镇化）工作委员会办公室(本级)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500.10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33.80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33.80</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17.67</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编制部门（单位）：唐山市“一港双城”（城镇化）工作委员会办公室(本级)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0.41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42.86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33.80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33.80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751.54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751.54</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34.79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34.79</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863.40</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39"/>
        <w:gridCol w:w="3416"/>
        <w:gridCol w:w="1546"/>
        <w:gridCol w:w="522"/>
        <w:gridCol w:w="54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编制部门（单位）：唐山市“一港双城”（城镇化）工作委员会办公室(本级)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863.40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500.10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进修及培训</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2050803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培训支出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42.86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33.80</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33.69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16.02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17.67</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0.11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751.54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388.24</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34.79</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编制部门（单位）：唐山市“一港双城”（城镇化）工作委员会办公室(本级)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440.59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58.81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112.19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2.29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117.88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96.97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42.86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7.24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34.79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441.29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编制部门（单位）：唐山市“一港双城”（城镇化）工作委员会办公室(本级)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编制部门（单位）：唐山市“一港双城”（城镇化）工作委员会办公室(本级)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编制部门（单位）：唐山市“一港双城”（城镇化）工作委员会办公室(本级)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3.37</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2.88</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2.88</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0.49</w:t>
            </w: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0.98</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0.98</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0.98</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度单位</w:t>
      </w:r>
      <w:r>
        <w:rPr>
          <w:rFonts w:hint="eastAsia" w:ascii="黑体" w:hAnsi="宋体" w:eastAsia="黑体" w:cs="黑体"/>
          <w:i w:val="0"/>
          <w:iCs w:val="0"/>
          <w:caps w:val="0"/>
          <w:color w:val="000000"/>
          <w:spacing w:val="-20"/>
          <w:sz w:val="72"/>
          <w:szCs w:val="72"/>
          <w:highlight w:val="none"/>
          <w:shd w:val="clear" w:fill="FFFFFF"/>
        </w:rPr>
        <w:t>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863.4</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168.35</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16.32</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kern w:val="2"/>
          <w:sz w:val="32"/>
          <w:szCs w:val="32"/>
          <w:lang w:val="zh-CN"/>
        </w:rPr>
        <w:t>厉行节约，加强资金管理</w:t>
      </w:r>
      <w:r>
        <w:rPr>
          <w:rFonts w:hint="default" w:ascii="Times New Roman" w:hAnsi="Times New Roman" w:eastAsia="仿宋_GB2312" w:cs="Times New Roman"/>
          <w:kern w:val="2"/>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863.4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，其中：财政拨款收入863.4万元，占100%；上级补助收入0万元，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863.4万元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500.1万元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占57.92%；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363.3万元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占42.08%；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年度财政拨款本年收入863.4</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kern w:val="2"/>
          <w:sz w:val="32"/>
          <w:szCs w:val="32"/>
          <w:lang w:val="en-US" w:eastAsia="zh-CN"/>
        </w:rPr>
        <w:t>168.35</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eastAsia="zh-CN"/>
        </w:rPr>
        <w:t>下降</w:t>
      </w:r>
      <w:r>
        <w:rPr>
          <w:rFonts w:hint="eastAsia" w:ascii="Times New Roman" w:hAnsi="Times New Roman" w:eastAsia="仿宋_GB2312" w:cs="Times New Roman"/>
          <w:kern w:val="2"/>
          <w:sz w:val="32"/>
          <w:szCs w:val="32"/>
          <w:lang w:val="en-US" w:eastAsia="zh-CN"/>
        </w:rPr>
        <w:t>16.32</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厉行节约，加强资金管理</w:t>
      </w:r>
      <w:r>
        <w:rPr>
          <w:rFonts w:hint="default" w:ascii="Times New Roman" w:hAnsi="Times New Roman" w:eastAsia="仿宋_GB2312" w:cs="Times New Roman"/>
          <w:color w:val="auto"/>
          <w:kern w:val="2"/>
          <w:sz w:val="32"/>
          <w:szCs w:val="32"/>
          <w:lang w:val="zh-CN" w:eastAsia="zh-CN" w:bidi="ar-SA"/>
        </w:rPr>
        <w:t>；本年支出 863.4万元，比上年减少</w:t>
      </w:r>
      <w:r>
        <w:rPr>
          <w:rFonts w:hint="eastAsia" w:ascii="Times New Roman" w:hAnsi="Times New Roman" w:eastAsia="仿宋_GB2312" w:cs="Times New Roman"/>
          <w:kern w:val="2"/>
          <w:sz w:val="32"/>
          <w:szCs w:val="32"/>
          <w:lang w:val="en-US" w:eastAsia="zh-CN"/>
        </w:rPr>
        <w:t>168.35</w:t>
      </w:r>
      <w:r>
        <w:rPr>
          <w:rFonts w:hint="default" w:ascii="Times New Roman" w:hAnsi="Times New Roman" w:eastAsia="仿宋_GB2312" w:cs="Times New Roman"/>
          <w:color w:val="auto"/>
          <w:kern w:val="2"/>
          <w:sz w:val="32"/>
          <w:szCs w:val="32"/>
          <w:lang w:val="zh-CN" w:eastAsia="zh-CN" w:bidi="ar-SA"/>
        </w:rPr>
        <w:t>万元，</w:t>
      </w:r>
      <w:r>
        <w:rPr>
          <w:rFonts w:hint="default" w:ascii="Times New Roman" w:hAnsi="Times New Roman" w:eastAsia="仿宋_GB2312" w:cs="Times New Roman"/>
          <w:kern w:val="2"/>
          <w:sz w:val="32"/>
          <w:szCs w:val="32"/>
          <w:lang w:eastAsia="zh-CN"/>
        </w:rPr>
        <w:t>下降</w:t>
      </w:r>
      <w:r>
        <w:rPr>
          <w:rFonts w:hint="eastAsia" w:ascii="Times New Roman" w:hAnsi="Times New Roman" w:eastAsia="仿宋_GB2312" w:cs="Times New Roman"/>
          <w:kern w:val="2"/>
          <w:sz w:val="32"/>
          <w:szCs w:val="32"/>
          <w:lang w:val="en-US" w:eastAsia="zh-CN"/>
        </w:rPr>
        <w:t>16.32</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厉行节约，加强资金管理</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一般公共预算财政拨款本年收入863.4</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kern w:val="2"/>
          <w:sz w:val="32"/>
          <w:szCs w:val="32"/>
          <w:lang w:val="en-US" w:eastAsia="zh-CN"/>
        </w:rPr>
        <w:t>168.35</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厉行节约，加强资金管理</w:t>
      </w:r>
      <w:r>
        <w:rPr>
          <w:rFonts w:hint="default" w:ascii="Times New Roman" w:hAnsi="Times New Roman" w:eastAsia="仿宋_GB2312" w:cs="Times New Roman"/>
          <w:kern w:val="2"/>
          <w:sz w:val="32"/>
          <w:szCs w:val="32"/>
          <w:lang w:val="zh-CN"/>
        </w:rPr>
        <w:t>；本年支出 863.4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default" w:ascii="Times New Roman" w:hAnsi="Times New Roman" w:eastAsia="仿宋_GB2312" w:cs="Times New Roman"/>
          <w:kern w:val="2"/>
          <w:sz w:val="32"/>
          <w:szCs w:val="32"/>
          <w:lang w:eastAsia="zh-CN"/>
        </w:rPr>
        <w:t>减少</w:t>
      </w:r>
      <w:r>
        <w:rPr>
          <w:rFonts w:hint="eastAsia" w:ascii="Times New Roman" w:hAnsi="Times New Roman" w:eastAsia="仿宋_GB2312" w:cs="Times New Roman"/>
          <w:kern w:val="2"/>
          <w:sz w:val="32"/>
          <w:szCs w:val="32"/>
          <w:lang w:val="en-US" w:eastAsia="zh-CN"/>
        </w:rPr>
        <w:t>168.35</w:t>
      </w:r>
      <w:r>
        <w:rPr>
          <w:rFonts w:hint="default" w:ascii="Times New Roman" w:hAnsi="Times New Roman" w:eastAsia="仿宋_GB2312" w:cs="Times New Roman"/>
          <w:kern w:val="2"/>
          <w:sz w:val="32"/>
          <w:szCs w:val="32"/>
          <w:lang w:val="zh-CN"/>
        </w:rPr>
        <w:t>万元，</w:t>
      </w:r>
      <w:r>
        <w:rPr>
          <w:rFonts w:hint="default" w:ascii="Times New Roman" w:hAnsi="Times New Roman" w:eastAsia="仿宋_GB2312" w:cs="Times New Roman"/>
          <w:kern w:val="2"/>
          <w:sz w:val="32"/>
          <w:szCs w:val="32"/>
          <w:lang w:eastAsia="zh-CN"/>
        </w:rPr>
        <w:t>下降</w:t>
      </w:r>
      <w:r>
        <w:rPr>
          <w:rFonts w:hint="eastAsia" w:ascii="Times New Roman" w:hAnsi="Times New Roman" w:eastAsia="仿宋_GB2312" w:cs="Times New Roman"/>
          <w:kern w:val="2"/>
          <w:sz w:val="32"/>
          <w:szCs w:val="32"/>
          <w:lang w:val="en-US" w:eastAsia="zh-CN"/>
        </w:rPr>
        <w:t>16.32</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kern w:val="2"/>
          <w:sz w:val="32"/>
          <w:szCs w:val="32"/>
          <w:lang w:val="zh-CN"/>
        </w:rPr>
        <w:t>厉行节约，加强资金管理</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年度财政拨款本年收入863.4万元，完成年初预算的77.07%，比年初预算减少</w:t>
      </w:r>
      <w:r>
        <w:rPr>
          <w:rFonts w:hint="eastAsia" w:ascii="Times New Roman" w:hAnsi="Times New Roman" w:eastAsia="仿宋_GB2312" w:cs="Times New Roman"/>
          <w:color w:val="auto"/>
          <w:kern w:val="2"/>
          <w:sz w:val="32"/>
          <w:szCs w:val="32"/>
          <w:lang w:val="en-US" w:eastAsia="zh-CN" w:bidi="ar-SA"/>
        </w:rPr>
        <w:t>256.88</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kern w:val="2"/>
          <w:sz w:val="32"/>
          <w:szCs w:val="32"/>
          <w:lang w:val="zh-CN"/>
        </w:rPr>
        <w:t>厉行节约，加强管理</w:t>
      </w:r>
      <w:r>
        <w:rPr>
          <w:rFonts w:hint="default" w:ascii="Times New Roman" w:hAnsi="Times New Roman" w:eastAsia="仿宋_GB2312" w:cs="Times New Roman"/>
          <w:color w:val="auto"/>
          <w:kern w:val="2"/>
          <w:sz w:val="32"/>
          <w:szCs w:val="32"/>
          <w:lang w:val="zh-CN" w:eastAsia="zh-CN" w:bidi="ar-SA"/>
        </w:rPr>
        <w:t>；本年支出863.4万元，完成年初预算的77.07%，比年初预算减少</w:t>
      </w:r>
      <w:r>
        <w:rPr>
          <w:rFonts w:hint="eastAsia" w:ascii="Times New Roman" w:hAnsi="Times New Roman" w:eastAsia="仿宋_GB2312" w:cs="Times New Roman"/>
          <w:color w:val="auto"/>
          <w:kern w:val="2"/>
          <w:sz w:val="32"/>
          <w:szCs w:val="32"/>
          <w:lang w:val="en-US" w:eastAsia="zh-CN" w:bidi="ar-SA"/>
        </w:rPr>
        <w:t>256.88</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kern w:val="2"/>
          <w:sz w:val="32"/>
          <w:szCs w:val="32"/>
          <w:lang w:val="zh-CN"/>
        </w:rPr>
        <w:t>厉行节约，加强管理</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收入863.4万元，完成年初预算的 77.07%，比年初预算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256.88</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kern w:val="2"/>
          <w:sz w:val="32"/>
          <w:szCs w:val="32"/>
          <w:lang w:val="zh-CN"/>
        </w:rPr>
        <w:t>厉行节约，加强管理</w:t>
      </w:r>
      <w:r>
        <w:rPr>
          <w:rFonts w:hint="default" w:ascii="Times New Roman" w:hAnsi="Times New Roman" w:eastAsia="仿宋_GB2312" w:cs="Times New Roman"/>
          <w:kern w:val="2"/>
          <w:sz w:val="32"/>
          <w:szCs w:val="32"/>
          <w:lang w:val="zh-CN"/>
        </w:rPr>
        <w:t>；本年支出863.4万元，完成年初预算的77.07%，比年初预算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256.88</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kern w:val="2"/>
          <w:sz w:val="32"/>
          <w:szCs w:val="32"/>
          <w:lang w:val="zh-CN"/>
        </w:rPr>
        <w:t>厉行节约，加强管理</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w:t>
      </w:r>
      <w:r>
        <w:rPr>
          <w:rFonts w:hint="eastAsia" w:ascii="Times New Roman" w:hAnsi="Times New Roman" w:eastAsia="仿宋_GB2312" w:cs="Times New Roman"/>
          <w:kern w:val="2"/>
          <w:sz w:val="32"/>
          <w:szCs w:val="32"/>
          <w:lang w:val="en-US" w:eastAsia="zh-CN"/>
        </w:rPr>
        <w:t>100</w:t>
      </w:r>
      <w:r>
        <w:rPr>
          <w:rFonts w:hint="default" w:ascii="Times New Roman" w:hAnsi="Times New Roman" w:eastAsia="仿宋_GB2312" w:cs="Times New Roman"/>
          <w:kern w:val="2"/>
          <w:sz w:val="32"/>
          <w:szCs w:val="32"/>
          <w:lang w:val="zh-CN"/>
        </w:rPr>
        <w:t>%，比年初预算增加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；本年支出0万元，完成年初预算的</w:t>
      </w:r>
      <w:r>
        <w:rPr>
          <w:rFonts w:hint="eastAsia" w:ascii="Times New Roman" w:hAnsi="Times New Roman" w:eastAsia="仿宋_GB2312" w:cs="Times New Roman"/>
          <w:kern w:val="2"/>
          <w:sz w:val="32"/>
          <w:szCs w:val="32"/>
          <w:lang w:val="en-US" w:eastAsia="zh-CN"/>
        </w:rPr>
        <w:t>10</w:t>
      </w:r>
      <w:r>
        <w:rPr>
          <w:rFonts w:hint="default" w:ascii="Times New Roman" w:hAnsi="Times New Roman" w:eastAsia="仿宋_GB2312" w:cs="Times New Roman"/>
          <w:kern w:val="2"/>
          <w:sz w:val="32"/>
          <w:szCs w:val="32"/>
          <w:lang w:val="zh-CN"/>
        </w:rPr>
        <w:t>0%，比年初预算增加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没有</w:t>
      </w:r>
      <w:r>
        <w:rPr>
          <w:rFonts w:ascii="Times New Roman" w:hAnsi="Times New Roman" w:eastAsia="仿宋_GB2312" w:cs="Times New Roman"/>
          <w:kern w:val="2"/>
          <w:sz w:val="32"/>
          <w:szCs w:val="32"/>
          <w:lang w:val="zh-CN"/>
        </w:rPr>
        <w:t>政府性基金预算财政拨款收入</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国有资本经营预算财政拨款本年收入0万元，比年初预算</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；本年支出0万元，比年初预算增加</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kern w:val="2"/>
          <w:sz w:val="32"/>
          <w:szCs w:val="32"/>
          <w:lang w:val="zh-CN"/>
        </w:rPr>
        <w:t>本年没有</w:t>
      </w:r>
      <w:r>
        <w:rPr>
          <w:rFonts w:ascii="Times New Roman" w:hAnsi="Times New Roman" w:eastAsia="仿宋_GB2312" w:cs="Times New Roman"/>
          <w:kern w:val="2"/>
          <w:sz w:val="32"/>
          <w:szCs w:val="32"/>
          <w:lang w:val="zh-CN"/>
        </w:rPr>
        <w:t>国有资本经营预算财政拨款收入</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年度财政拨款支出863.4万元，主要用于以下方面：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教育（类）支出0.41万元，占0.05%；社会保障和就业 （类）支出42.86万元，占4.96%；卫生健康（类）支出33.8万元，占3.92%；城乡社区（类）支出751.54万元，占87.04%；住房保障（类）支出34.79万元，占4.03%。</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年度财政拨款基本支出500.1万元，其中：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人员经费441.29万元，主要包括基本工资、津贴补贴、奖金、机关事业部门基本养老保险缴费、职工基本医疗保险缴费、公务员医疗补助缴费、住房公积金、其他社会保障缴费、其他工资福利支出、奖励金、其他对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公用经费58.81万元，主要包括办公费、电费、邮电费、取暖费、差旅费、维修（护）费、培训费、工会经费、福利费、公务用车运行维护费、其他交通费用、其他商品和服务支出。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年度“三公”经费财政拨款支出预算为3.37万元，支出决算为 0.98万元，完成预算的 29.16%，较预算减少</w:t>
      </w:r>
      <w:r>
        <w:rPr>
          <w:rFonts w:hint="eastAsia" w:ascii="Times New Roman" w:hAnsi="Times New Roman" w:eastAsia="仿宋_GB2312" w:cs="Times New Roman"/>
          <w:color w:val="auto"/>
          <w:kern w:val="2"/>
          <w:sz w:val="32"/>
          <w:szCs w:val="32"/>
          <w:lang w:val="en-US" w:eastAsia="zh-CN" w:bidi="ar-SA"/>
        </w:rPr>
        <w:t>3.29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70.92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kern w:val="2"/>
          <w:sz w:val="32"/>
          <w:szCs w:val="32"/>
          <w:lang w:val="zh-CN"/>
        </w:rPr>
        <w:t>加强三公经费管理，节约经费支出</w:t>
      </w:r>
      <w:r>
        <w:rPr>
          <w:rFonts w:hint="default" w:ascii="Times New Roman" w:hAnsi="Times New Roman" w:eastAsia="仿宋_GB2312" w:cs="Times New Roman"/>
          <w:color w:val="auto"/>
          <w:kern w:val="2"/>
          <w:sz w:val="32"/>
          <w:szCs w:val="32"/>
          <w:lang w:val="zh-CN" w:eastAsia="zh-CN" w:bidi="ar-SA"/>
        </w:rPr>
        <w:t>；较2022年度决算减少</w:t>
      </w:r>
      <w:r>
        <w:rPr>
          <w:rFonts w:hint="eastAsia" w:ascii="Times New Roman" w:hAnsi="Times New Roman" w:eastAsia="仿宋_GB2312" w:cs="Times New Roman"/>
          <w:color w:val="auto"/>
          <w:kern w:val="2"/>
          <w:sz w:val="32"/>
          <w:szCs w:val="32"/>
          <w:lang w:val="en-US" w:eastAsia="zh-CN" w:bidi="ar-SA"/>
        </w:rPr>
        <w:t>0.92</w:t>
      </w:r>
      <w:r>
        <w:rPr>
          <w:rFonts w:hint="default" w:ascii="Times New Roman" w:hAnsi="Times New Roman" w:eastAsia="仿宋_GB2312" w:cs="Times New Roman"/>
          <w:color w:val="auto"/>
          <w:kern w:val="2"/>
          <w:sz w:val="32"/>
          <w:szCs w:val="32"/>
          <w:lang w:val="zh-CN" w:eastAsia="zh-CN" w:bidi="ar-SA"/>
        </w:rPr>
        <w:t>万元，</w:t>
      </w:r>
      <w:r>
        <w:rPr>
          <w:rFonts w:ascii="Times New Roman" w:hAnsi="Times New Roman" w:eastAsia="仿宋_GB2312"/>
          <w:kern w:val="2"/>
          <w:sz w:val="32"/>
          <w:szCs w:val="32"/>
          <w:lang w:val="zh-CN"/>
        </w:rPr>
        <w:t>降低</w:t>
      </w:r>
      <w:r>
        <w:rPr>
          <w:rFonts w:hint="eastAsia" w:ascii="Times New Roman" w:hAnsi="Times New Roman" w:eastAsia="仿宋_GB2312"/>
          <w:kern w:val="2"/>
          <w:sz w:val="32"/>
          <w:szCs w:val="32"/>
          <w:lang w:val="zh-CN"/>
        </w:rPr>
        <w:t>48.35</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三公经费管理，节约经费支出</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widowControl/>
        <w:spacing w:beforeAutospacing="0" w:afterAutospacing="0"/>
        <w:ind w:firstLine="643" w:firstLineChars="200"/>
        <w:rPr>
          <w:rFonts w:ascii="Times New Roman" w:hAnsi="Times New Roman" w:eastAsia="仿宋_GB2312"/>
          <w:kern w:val="2"/>
          <w:sz w:val="32"/>
          <w:szCs w:val="32"/>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en-US" w:eastAsia="zh-CN" w:bidi="ar-SA"/>
        </w:rPr>
        <w:t>00</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kern w:val="2"/>
          <w:sz w:val="32"/>
          <w:szCs w:val="32"/>
        </w:rPr>
        <w:t>与</w:t>
      </w:r>
      <w:r>
        <w:rPr>
          <w:rFonts w:ascii="Times New Roman" w:hAnsi="Times New Roman" w:eastAsia="仿宋_GB2312"/>
          <w:kern w:val="2"/>
          <w:sz w:val="32"/>
          <w:szCs w:val="32"/>
        </w:rPr>
        <w:t>预算</w:t>
      </w:r>
      <w:r>
        <w:rPr>
          <w:rFonts w:hint="eastAsia" w:ascii="Times New Roman" w:hAnsi="Times New Roman" w:eastAsia="仿宋_GB2312"/>
          <w:kern w:val="2"/>
          <w:sz w:val="32"/>
          <w:szCs w:val="32"/>
        </w:rPr>
        <w:t>持平</w:t>
      </w:r>
      <w:r>
        <w:rPr>
          <w:rFonts w:ascii="Times New Roman" w:hAnsi="Times New Roman" w:eastAsia="仿宋_GB2312"/>
          <w:kern w:val="2"/>
          <w:sz w:val="32"/>
          <w:szCs w:val="32"/>
        </w:rPr>
        <w:t>，增长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本年度未发生</w:t>
      </w:r>
      <w:r>
        <w:rPr>
          <w:rFonts w:ascii="Times New Roman" w:hAnsi="Times New Roman" w:eastAsia="仿宋_GB2312"/>
          <w:kern w:val="2"/>
          <w:sz w:val="32"/>
          <w:szCs w:val="32"/>
        </w:rPr>
        <w:t>因公出国（境）费</w:t>
      </w:r>
      <w:r>
        <w:rPr>
          <w:rFonts w:hint="eastAsia" w:ascii="Times New Roman" w:hAnsi="Times New Roman" w:eastAsia="仿宋_GB2312"/>
          <w:kern w:val="2"/>
          <w:sz w:val="32"/>
          <w:szCs w:val="32"/>
        </w:rPr>
        <w:t>事务</w:t>
      </w:r>
      <w:r>
        <w:rPr>
          <w:rFonts w:ascii="Times New Roman" w:hAnsi="Times New Roman" w:eastAsia="仿宋_GB2312"/>
          <w:kern w:val="2"/>
          <w:sz w:val="32"/>
          <w:szCs w:val="32"/>
        </w:rPr>
        <w:t>；较上年增加</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万元，增长</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%,主要是</w:t>
      </w:r>
      <w:r>
        <w:rPr>
          <w:rFonts w:hint="eastAsia" w:ascii="Times New Roman" w:hAnsi="Times New Roman" w:eastAsia="仿宋_GB2312"/>
          <w:kern w:val="2"/>
          <w:sz w:val="32"/>
          <w:szCs w:val="32"/>
        </w:rPr>
        <w:t>本年度未发生</w:t>
      </w:r>
      <w:r>
        <w:rPr>
          <w:rFonts w:ascii="Times New Roman" w:hAnsi="Times New Roman" w:eastAsia="仿宋_GB2312"/>
          <w:kern w:val="2"/>
          <w:sz w:val="32"/>
          <w:szCs w:val="32"/>
        </w:rPr>
        <w:t>因公出国（境）费</w:t>
      </w:r>
      <w:r>
        <w:rPr>
          <w:rFonts w:hint="eastAsia" w:ascii="Times New Roman" w:hAnsi="Times New Roman" w:eastAsia="仿宋_GB2312"/>
          <w:kern w:val="2"/>
          <w:sz w:val="32"/>
          <w:szCs w:val="32"/>
        </w:rPr>
        <w:t>事务</w:t>
      </w:r>
      <w:r>
        <w:rPr>
          <w:rFonts w:ascii="Times New Roman" w:hAnsi="Times New Roman" w:eastAsia="仿宋_GB2312"/>
          <w:kern w:val="2"/>
          <w:sz w:val="32"/>
          <w:szCs w:val="32"/>
        </w:rPr>
        <w:t>。因公出国（境）团组0个、共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w:t>
      </w:r>
      <w:r>
        <w:rPr>
          <w:rFonts w:hint="eastAsia" w:ascii="Times New Roman" w:hAnsi="Times New Roman" w:eastAsia="仿宋_GB2312"/>
          <w:kern w:val="2"/>
          <w:sz w:val="32"/>
          <w:szCs w:val="32"/>
        </w:rPr>
        <w:t>，</w:t>
      </w:r>
      <w:r>
        <w:rPr>
          <w:rFonts w:ascii="Times New Roman" w:hAnsi="Times New Roman" w:eastAsia="仿宋_GB2312"/>
          <w:kern w:val="2"/>
          <w:sz w:val="32"/>
          <w:szCs w:val="32"/>
        </w:rPr>
        <w:t>无本部门组织的出国（境）团组。</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年度公务用车购置及运行维护费预算为2.88万元，支出决算 0.98万元，完成预算的34.12%,</w:t>
      </w:r>
      <w:r>
        <w:rPr>
          <w:rFonts w:ascii="Times New Roman" w:hAnsi="Times New Roman" w:eastAsia="仿宋_GB2312" w:cs="Times New Roman"/>
          <w:kern w:val="2"/>
          <w:sz w:val="32"/>
          <w:szCs w:val="32"/>
          <w:lang w:val="zh-CN"/>
        </w:rPr>
        <w:t>较预算减少</w:t>
      </w:r>
      <w:r>
        <w:rPr>
          <w:rFonts w:hint="eastAsia" w:ascii="Times New Roman" w:hAnsi="Times New Roman" w:eastAsia="仿宋_GB2312" w:cs="Times New Roman"/>
          <w:kern w:val="2"/>
          <w:sz w:val="32"/>
          <w:szCs w:val="32"/>
          <w:lang w:val="zh-CN"/>
        </w:rPr>
        <w:t>1.90</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65.88</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lang w:val="zh-CN"/>
        </w:rPr>
        <w:t>0.92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48.35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。其中：</w:t>
      </w:r>
    </w:p>
    <w:p>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w:t>
      </w:r>
      <w:r>
        <w:rPr>
          <w:rFonts w:hint="eastAsia" w:ascii="Times New Roman" w:hAnsi="Times New Roman" w:eastAsia="仿宋_GB2312" w:cs="Times New Roman"/>
          <w:kern w:val="2"/>
          <w:sz w:val="32"/>
          <w:szCs w:val="32"/>
          <w:lang w:val="zh-CN"/>
        </w:rPr>
        <w:t>单位</w:t>
      </w:r>
      <w:r>
        <w:rPr>
          <w:rFonts w:ascii="Times New Roman" w:hAnsi="Times New Roman" w:eastAsia="仿宋_GB2312" w:cs="Times New Roman"/>
          <w:kern w:val="2"/>
          <w:sz w:val="32"/>
          <w:szCs w:val="32"/>
          <w:lang w:val="zh-CN"/>
        </w:rPr>
        <w:t>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年度公务用车购置量0辆，发生“公务用车购置”经费支出0万元。公务用车购置费支出</w:t>
      </w:r>
      <w:r>
        <w:rPr>
          <w:rFonts w:hint="eastAsia" w:ascii="Times New Roman" w:hAnsi="Times New Roman" w:eastAsia="仿宋_GB2312" w:cs="Times New Roman"/>
          <w:kern w:val="2"/>
          <w:sz w:val="32"/>
          <w:szCs w:val="32"/>
          <w:lang w:val="zh-CN"/>
        </w:rPr>
        <w:t>与预算持平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本年度未公务用车购置经费支出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与2022年度决算支出持平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本年度未公务用车购置经费支出</w:t>
      </w:r>
      <w:r>
        <w:rPr>
          <w:rFonts w:ascii="Times New Roman" w:hAnsi="Times New Roman" w:eastAsia="仿宋_GB2312" w:cs="Times New Roman"/>
          <w:kern w:val="2"/>
          <w:sz w:val="32"/>
          <w:szCs w:val="32"/>
          <w:lang w:val="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ascii="Times New Roman" w:hAnsi="Times New Roman" w:eastAsia="仿宋_GB2312" w:cs="Times New Roman"/>
          <w:kern w:val="2"/>
          <w:sz w:val="32"/>
          <w:szCs w:val="32"/>
          <w:lang w:val="zh-CN"/>
        </w:rPr>
      </w:pPr>
      <w:r>
        <w:rPr>
          <w:rFonts w:hint="default" w:ascii="Times New Roman" w:hAnsi="Times New Roman" w:eastAsia="仿宋_GB2312" w:cs="Times New Roman"/>
          <w:b/>
          <w:sz w:val="32"/>
          <w:szCs w:val="32"/>
        </w:rPr>
        <w:t>公务用车运行维护费支出XX</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年度单位公务用车保有量1辆，发生运行维护费支出0.98万元。</w:t>
      </w:r>
      <w:r>
        <w:rPr>
          <w:rFonts w:ascii="Times New Roman" w:hAnsi="Times New Roman" w:eastAsia="仿宋_GB2312" w:cs="Times New Roman"/>
          <w:kern w:val="2"/>
          <w:sz w:val="32"/>
          <w:szCs w:val="32"/>
          <w:lang w:val="zh-CN"/>
        </w:rPr>
        <w:t>公车运行维护费支出较预算减少</w:t>
      </w:r>
      <w:r>
        <w:rPr>
          <w:rFonts w:hint="eastAsia" w:ascii="Times New Roman" w:hAnsi="Times New Roman" w:eastAsia="仿宋_GB2312" w:cs="Times New Roman"/>
          <w:kern w:val="2"/>
          <w:sz w:val="32"/>
          <w:szCs w:val="32"/>
          <w:lang w:val="zh-CN"/>
        </w:rPr>
        <w:t>1.90</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65.88</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；较上年减少</w:t>
      </w:r>
      <w:r>
        <w:rPr>
          <w:rFonts w:hint="eastAsia" w:ascii="Times New Roman" w:hAnsi="Times New Roman" w:eastAsia="仿宋_GB2312" w:cs="Times New Roman"/>
          <w:kern w:val="2"/>
          <w:sz w:val="32"/>
          <w:szCs w:val="32"/>
          <w:lang w:val="zh-CN"/>
        </w:rPr>
        <w:t>0.92</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48.35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严格车辆管理，减少支出</w:t>
      </w:r>
      <w:r>
        <w:rPr>
          <w:rFonts w:ascii="Times New Roman" w:hAnsi="Times New Roman" w:eastAsia="仿宋_GB2312" w:cs="Times New Roman"/>
          <w:kern w:val="2"/>
          <w:sz w:val="32"/>
          <w:szCs w:val="32"/>
          <w:lang w:val="zh-CN"/>
        </w:rPr>
        <w:t>。</w:t>
      </w:r>
    </w:p>
    <w:p>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年度公务接待费支出预算为0.49万元，支出决算0万元，完成预算的</w:t>
      </w:r>
      <w:r>
        <w:rPr>
          <w:rFonts w:hint="eastAsia" w:ascii="Times New Roman" w:hAnsi="Times New Roman" w:eastAsia="仿宋_GB2312" w:cs="Times New Roman"/>
          <w:kern w:val="2"/>
          <w:sz w:val="32"/>
          <w:szCs w:val="32"/>
          <w:lang w:val="zh-CN"/>
        </w:rPr>
        <w:t>10</w:t>
      </w:r>
      <w:r>
        <w:rPr>
          <w:rFonts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%。公务接待费支出较预算减少</w:t>
      </w:r>
      <w:r>
        <w:rPr>
          <w:rFonts w:hint="eastAsia" w:ascii="Times New Roman" w:hAnsi="Times New Roman" w:eastAsia="仿宋_GB2312" w:cs="Times New Roman"/>
          <w:kern w:val="2"/>
          <w:sz w:val="32"/>
          <w:szCs w:val="32"/>
          <w:lang w:val="zh-CN"/>
        </w:rPr>
        <w:t>0.54</w:t>
      </w:r>
      <w:r>
        <w:rPr>
          <w:rFonts w:ascii="Times New Roman" w:hAnsi="Times New Roman" w:eastAsia="仿宋_GB2312" w:cs="Times New Roman"/>
          <w:kern w:val="2"/>
          <w:sz w:val="32"/>
          <w:szCs w:val="32"/>
          <w:lang w:val="zh-CN"/>
        </w:rPr>
        <w:t>万元，降低</w:t>
      </w:r>
      <w:r>
        <w:rPr>
          <w:rFonts w:hint="eastAsia" w:ascii="Times New Roman" w:hAnsi="Times New Roman" w:eastAsia="仿宋_GB2312" w:cs="Times New Roman"/>
          <w:kern w:val="2"/>
          <w:sz w:val="32"/>
          <w:szCs w:val="32"/>
          <w:lang w:val="zh-CN"/>
        </w:rPr>
        <w:t>100</w:t>
      </w:r>
      <w:r>
        <w:rPr>
          <w:rFonts w:hint="eastAsia" w:ascii="Times New Roman" w:hAnsi="Times New Roman" w:eastAsia="仿宋_GB2312" w:cs="Times New Roman"/>
          <w:kern w:val="2"/>
          <w:sz w:val="32"/>
          <w:szCs w:val="32"/>
          <w:lang w:val="en-US" w:eastAsia="zh-CN"/>
        </w:rPr>
        <w:t>.00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本年度无公务接待费用支出</w:t>
      </w:r>
      <w:r>
        <w:rPr>
          <w:rFonts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与2022年度决算支出持平</w:t>
      </w:r>
      <w:r>
        <w:rPr>
          <w:rFonts w:ascii="Times New Roman" w:hAnsi="Times New Roman" w:eastAsia="仿宋_GB2312" w:cs="Times New Roman"/>
          <w:kern w:val="2"/>
          <w:sz w:val="32"/>
          <w:szCs w:val="32"/>
          <w:lang w:val="zh-CN"/>
        </w:rPr>
        <w:t>，增长</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本年度无公务接待费用支出</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年度机关运行经费支出58.81万元，较2022年度</w:t>
      </w:r>
      <w:r>
        <w:rPr>
          <w:rFonts w:ascii="Times New Roman" w:hAnsi="Times New Roman" w:eastAsia="仿宋_GB2312"/>
          <w:kern w:val="2"/>
          <w:sz w:val="32"/>
          <w:szCs w:val="32"/>
          <w:lang w:val="zh-CN"/>
        </w:rPr>
        <w:t>减少</w:t>
      </w:r>
      <w:r>
        <w:rPr>
          <w:rFonts w:hint="eastAsia" w:ascii="Times New Roman" w:hAnsi="Times New Roman" w:eastAsia="仿宋_GB2312"/>
          <w:kern w:val="2"/>
          <w:sz w:val="32"/>
          <w:szCs w:val="32"/>
          <w:lang w:val="zh-CN"/>
        </w:rPr>
        <w:t>194.87</w:t>
      </w:r>
      <w:r>
        <w:rPr>
          <w:rFonts w:ascii="Times New Roman" w:hAnsi="Times New Roman" w:eastAsia="仿宋_GB2312"/>
          <w:kern w:val="2"/>
          <w:sz w:val="32"/>
          <w:szCs w:val="32"/>
          <w:lang w:val="zh-CN"/>
        </w:rPr>
        <w:t>万元，降低</w:t>
      </w:r>
      <w:r>
        <w:rPr>
          <w:rFonts w:hint="eastAsia" w:ascii="Times New Roman" w:hAnsi="Times New Roman" w:eastAsia="仿宋_GB2312"/>
          <w:kern w:val="2"/>
          <w:sz w:val="32"/>
          <w:szCs w:val="32"/>
          <w:lang w:val="zh-CN"/>
        </w:rPr>
        <w:t>76.82</w:t>
      </w:r>
      <w:r>
        <w:rPr>
          <w:rFonts w:ascii="Times New Roman" w:hAnsi="Times New Roman" w:eastAsia="仿宋_GB2312"/>
          <w:kern w:val="2"/>
          <w:sz w:val="32"/>
          <w:szCs w:val="32"/>
          <w:lang w:val="zh-CN"/>
        </w:rPr>
        <w:t>%。主要原因是</w:t>
      </w:r>
      <w:r>
        <w:rPr>
          <w:rFonts w:hint="eastAsia" w:ascii="Times New Roman" w:hAnsi="Times New Roman" w:eastAsia="仿宋_GB2312"/>
          <w:kern w:val="2"/>
          <w:sz w:val="32"/>
          <w:szCs w:val="32"/>
          <w:lang w:val="zh-CN"/>
        </w:rPr>
        <w:t>2022年度的办公用房租赁费用在机关运行经费中体现，因此2022年金额较多</w:t>
      </w:r>
      <w:r>
        <w:rPr>
          <w:rFonts w:ascii="Times New Roman" w:hAnsi="Times New Roman" w:eastAsia="仿宋_GB2312"/>
          <w:kern w:val="2"/>
          <w:sz w:val="32"/>
          <w:szCs w:val="32"/>
          <w:lang w:val="zh-CN"/>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年度政府采购支出总额282.84万元，从采购类型来看，政府采购货物支出0.71万元、政府采购工程支出0万元、政府采购服务支出282.14万元。授予中小企业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182.84万元，占政府采购支出总额的64.64%，其中授予小微企业合同金额40.27万元，占政府采购支出总额的14.24%。</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共有车辆1辆，</w:t>
      </w:r>
      <w:r>
        <w:rPr>
          <w:rFonts w:hint="eastAsia" w:ascii="Times New Roman" w:hAnsi="Times New Roman" w:eastAsia="仿宋_GB2312"/>
          <w:kern w:val="2"/>
          <w:sz w:val="32"/>
          <w:szCs w:val="32"/>
          <w:lang w:val="zh-CN"/>
        </w:rPr>
        <w:t>与</w:t>
      </w:r>
      <w:r>
        <w:rPr>
          <w:rFonts w:ascii="Times New Roman" w:hAnsi="Times New Roman" w:eastAsia="仿宋_GB2312"/>
          <w:kern w:val="2"/>
          <w:sz w:val="32"/>
          <w:szCs w:val="32"/>
          <w:lang w:val="zh-CN"/>
        </w:rPr>
        <w:t>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本年度未购置公务用车</w:t>
      </w:r>
      <w:r>
        <w:rPr>
          <w:rFonts w:ascii="Times New Roman" w:hAnsi="Times New Roman" w:eastAsia="仿宋_GB2312"/>
          <w:kern w:val="2"/>
          <w:sz w:val="32"/>
          <w:szCs w:val="32"/>
          <w:lang w:val="zh-CN"/>
        </w:rPr>
        <w:t>。其中，副部（省）级及以上领导用车辆，主要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用车0辆，机要通信用车0辆，应急保障用车1辆，执法执勤用车0辆，特种专业技术用车0辆，离退休干部用车0辆，其他用车0辆。单位价值100万元（含）以上设备（不含车辆）0台（套）。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根据预算绩效管理要求，本</w:t>
      </w:r>
      <w:r>
        <w:rPr>
          <w:rFonts w:hint="eastAsia" w:ascii="Times New Roman" w:hAnsi="Times New Roman" w:eastAsia="仿宋_GB2312"/>
          <w:kern w:val="2"/>
          <w:sz w:val="32"/>
          <w:szCs w:val="32"/>
          <w:lang w:val="zh-CN"/>
        </w:rPr>
        <w:t>单位</w:t>
      </w:r>
      <w:r>
        <w:rPr>
          <w:rFonts w:ascii="Times New Roman" w:hAnsi="Times New Roman" w:eastAsia="仿宋_GB2312"/>
          <w:kern w:val="2"/>
          <w:sz w:val="32"/>
          <w:szCs w:val="32"/>
          <w:lang w:val="zh-CN"/>
        </w:rPr>
        <w:t>组织对2023年度一般公共预算项目支出全面开展绩效自评，</w:t>
      </w:r>
      <w:r>
        <w:rPr>
          <w:rFonts w:hint="eastAsia" w:ascii="Times New Roman" w:hAnsi="Times New Roman" w:eastAsia="仿宋_GB2312"/>
          <w:kern w:val="2"/>
          <w:sz w:val="32"/>
          <w:szCs w:val="32"/>
          <w:lang w:val="zh-CN"/>
        </w:rPr>
        <w:t>共11</w:t>
      </w:r>
      <w:r>
        <w:rPr>
          <w:rFonts w:ascii="Times New Roman" w:hAnsi="Times New Roman" w:eastAsia="仿宋_GB2312"/>
          <w:kern w:val="2"/>
          <w:sz w:val="32"/>
          <w:szCs w:val="32"/>
          <w:lang w:val="zh-CN"/>
        </w:rPr>
        <w:t>个</w:t>
      </w:r>
      <w:r>
        <w:rPr>
          <w:rFonts w:hint="eastAsia" w:ascii="Times New Roman" w:hAnsi="Times New Roman" w:eastAsia="仿宋_GB2312"/>
          <w:kern w:val="2"/>
          <w:sz w:val="32"/>
          <w:szCs w:val="32"/>
          <w:lang w:val="zh-CN"/>
        </w:rPr>
        <w:t>项目</w:t>
      </w:r>
      <w:r>
        <w:rPr>
          <w:rFonts w:ascii="Times New Roman" w:hAnsi="Times New Roman" w:eastAsia="仿宋_GB2312"/>
          <w:kern w:val="2"/>
          <w:sz w:val="32"/>
          <w:szCs w:val="32"/>
          <w:lang w:val="zh-CN"/>
        </w:rPr>
        <w:t>，涉及资金</w:t>
      </w:r>
      <w:r>
        <w:rPr>
          <w:rFonts w:hint="eastAsia" w:ascii="Times New Roman" w:hAnsi="Times New Roman" w:eastAsia="仿宋_GB2312"/>
          <w:kern w:val="2"/>
          <w:sz w:val="32"/>
          <w:szCs w:val="32"/>
          <w:lang w:val="zh-CN"/>
        </w:rPr>
        <w:t>485.80</w:t>
      </w:r>
      <w:r>
        <w:rPr>
          <w:rFonts w:ascii="Times New Roman" w:hAnsi="Times New Roman" w:eastAsia="仿宋_GB2312"/>
          <w:kern w:val="2"/>
          <w:sz w:val="32"/>
          <w:szCs w:val="32"/>
          <w:lang w:val="zh-CN"/>
        </w:rPr>
        <w:t>万元，占一般公共预算项目支出总额的</w:t>
      </w:r>
      <w:r>
        <w:rPr>
          <w:rFonts w:hint="eastAsia" w:ascii="Times New Roman" w:hAnsi="Times New Roman" w:eastAsia="仿宋_GB2312"/>
          <w:kern w:val="2"/>
          <w:sz w:val="32"/>
          <w:szCs w:val="32"/>
          <w:lang w:val="zh-CN"/>
        </w:rPr>
        <w:t>100</w:t>
      </w:r>
      <w:r>
        <w:rPr>
          <w:rFonts w:hint="eastAsia" w:ascii="Times New Roman" w:hAnsi="Times New Roman" w:eastAsia="仿宋_GB2312"/>
          <w:kern w:val="2"/>
          <w:sz w:val="32"/>
          <w:szCs w:val="32"/>
          <w:lang w:val="en-US" w:eastAsia="zh-CN"/>
        </w:rPr>
        <w:t>.00</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政府性基金预算项目。</w:t>
      </w:r>
      <w:r>
        <w:rPr>
          <w:rFonts w:hint="eastAsia" w:ascii="Times New Roman" w:hAnsi="Times New Roman" w:eastAsia="仿宋_GB2312"/>
          <w:kern w:val="2"/>
          <w:sz w:val="32"/>
          <w:szCs w:val="32"/>
          <w:lang w:val="zh-CN"/>
        </w:rPr>
        <w:t>无</w:t>
      </w:r>
      <w:r>
        <w:rPr>
          <w:rFonts w:ascii="Times New Roman" w:hAnsi="Times New Roman" w:eastAsia="仿宋_GB2312"/>
          <w:kern w:val="2"/>
          <w:sz w:val="32"/>
          <w:szCs w:val="32"/>
          <w:lang w:val="zh-CN"/>
        </w:rPr>
        <w:t>国有资本经营预算项目。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ascii="Times New Roman" w:hAnsi="Times New Roman" w:eastAsia="仿宋_GB2312"/>
          <w:kern w:val="2"/>
          <w:sz w:val="32"/>
          <w:szCs w:val="32"/>
          <w:lang w:val="zh-CN"/>
        </w:rPr>
        <w:t>组织对“</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等</w:t>
      </w:r>
      <w:r>
        <w:rPr>
          <w:rFonts w:hint="eastAsia" w:ascii="Times New Roman" w:hAnsi="Times New Roman" w:eastAsia="仿宋_GB2312"/>
          <w:kern w:val="2"/>
          <w:sz w:val="32"/>
          <w:szCs w:val="32"/>
          <w:lang w:val="en-US" w:eastAsia="zh-CN"/>
        </w:rPr>
        <w:t>11</w:t>
      </w:r>
      <w:r>
        <w:rPr>
          <w:rFonts w:ascii="Times New Roman" w:hAnsi="Times New Roman" w:eastAsia="仿宋_GB2312"/>
          <w:kern w:val="2"/>
          <w:sz w:val="32"/>
          <w:szCs w:val="32"/>
          <w:lang w:val="zh-CN"/>
        </w:rPr>
        <w:t>个项目开展了部门评价，涉及一般公共预算支出</w:t>
      </w:r>
      <w:r>
        <w:rPr>
          <w:rFonts w:hint="eastAsia" w:ascii="Times New Roman" w:hAnsi="Times New Roman" w:eastAsia="仿宋_GB2312"/>
          <w:kern w:val="2"/>
          <w:sz w:val="32"/>
          <w:szCs w:val="32"/>
          <w:lang w:val="zh-CN"/>
        </w:rPr>
        <w:t>485.80</w:t>
      </w:r>
      <w:r>
        <w:rPr>
          <w:rFonts w:ascii="Times New Roman" w:hAnsi="Times New Roman" w:eastAsia="仿宋_GB2312"/>
          <w:kern w:val="2"/>
          <w:sz w:val="32"/>
          <w:szCs w:val="32"/>
          <w:lang w:val="zh-CN"/>
        </w:rPr>
        <w:t>万元，政府性基金预算支出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万元，国有资本经营预算支出</w:t>
      </w:r>
      <w:r>
        <w:rPr>
          <w:rFonts w:hint="eastAsia" w:ascii="Times New Roman" w:hAnsi="Times New Roman" w:eastAsia="仿宋_GB2312"/>
          <w:kern w:val="2"/>
          <w:sz w:val="32"/>
          <w:szCs w:val="32"/>
          <w:lang w:val="zh-CN"/>
        </w:rPr>
        <w:t>0</w:t>
      </w:r>
      <w:r>
        <w:rPr>
          <w:rFonts w:ascii="Times New Roman" w:hAnsi="Times New Roman" w:eastAsia="仿宋_GB2312"/>
          <w:kern w:val="2"/>
          <w:sz w:val="32"/>
          <w:szCs w:val="32"/>
          <w:lang w:val="zh-CN"/>
        </w:rPr>
        <w:t>万元。从评价情况来看，</w:t>
      </w:r>
      <w:r>
        <w:rPr>
          <w:rFonts w:hint="eastAsia" w:ascii="Times New Roman" w:hAnsi="Times New Roman" w:eastAsia="仿宋_GB2312"/>
          <w:kern w:val="2"/>
          <w:sz w:val="32"/>
          <w:szCs w:val="32"/>
          <w:lang w:val="zh-CN"/>
        </w:rPr>
        <w:t>我单位项目资金使用效益良好，较好完成年初设定的绩效目标。</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项目及</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项目等</w:t>
      </w:r>
      <w:r>
        <w:rPr>
          <w:rFonts w:hint="eastAsia" w:ascii="Times New Roman" w:hAnsi="Times New Roman" w:eastAsia="仿宋_GB2312"/>
          <w:kern w:val="2"/>
          <w:sz w:val="32"/>
          <w:szCs w:val="32"/>
          <w:lang w:val="en-US" w:eastAsia="zh-CN"/>
        </w:rPr>
        <w:t>11</w:t>
      </w:r>
      <w:r>
        <w:rPr>
          <w:rFonts w:hint="default" w:ascii="Times New Roman" w:hAnsi="Times New Roman" w:eastAsia="仿宋_GB2312" w:cs="Times New Roman"/>
          <w:color w:val="auto"/>
          <w:kern w:val="2"/>
          <w:sz w:val="32"/>
          <w:szCs w:val="32"/>
          <w:lang w:val="zh-CN" w:eastAsia="zh-CN" w:bidi="ar-SA"/>
        </w:rPr>
        <w:t>个项目绩效自评结果。</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1）</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办公用房租赁费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142.49</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142.18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99.78</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完成办公用房租赁，租赁合格，满足办公用房的需要</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预算执行率较好，预算制定科学合理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物业费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39.5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39.5</w:t>
      </w:r>
      <w:r>
        <w:rPr>
          <w:rFonts w:hint="eastAsia" w:ascii="Times New Roman" w:hAnsi="Times New Roman" w:eastAsia="仿宋_GB2312"/>
          <w:kern w:val="2"/>
          <w:sz w:val="32"/>
          <w:szCs w:val="32"/>
          <w:lang w:val="en-US" w:eastAsia="zh-CN"/>
        </w:rPr>
        <w:t>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完成办公用房的物业服务，提供了干净整洁的办公环境</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3</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网络费</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zh-CN"/>
        </w:rPr>
        <w:t>7.</w:t>
      </w:r>
      <w:r>
        <w:rPr>
          <w:rFonts w:hint="eastAsia" w:ascii="Times New Roman" w:hAnsi="Times New Roman" w:eastAsia="仿宋_GB2312"/>
          <w:kern w:val="2"/>
          <w:sz w:val="32"/>
          <w:szCs w:val="32"/>
          <w:lang w:val="en-US" w:eastAsia="zh-CN"/>
        </w:rPr>
        <w:t>40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zh-CN"/>
        </w:rPr>
        <w:t>7.38</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99.73</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完成办公网络的租用服务，提供稳定的网络线路</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4</w:t>
      </w:r>
      <w:r>
        <w:rPr>
          <w:rFonts w:hint="eastAsia" w:ascii="Times New Roman" w:hAnsi="Times New Roman" w:eastAsia="仿宋_GB2312"/>
          <w:kern w:val="2"/>
          <w:sz w:val="32"/>
          <w:szCs w:val="32"/>
          <w:lang w:val="zh-CN"/>
        </w:rPr>
        <w:t>）唐山新城水土保持区域评估</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唐山新城水土保持区域评估</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30.00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29.50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zh-CN"/>
        </w:rPr>
        <w:t>9</w:t>
      </w:r>
      <w:r>
        <w:rPr>
          <w:rFonts w:hint="eastAsia" w:ascii="Times New Roman" w:hAnsi="Times New Roman" w:eastAsia="仿宋_GB2312"/>
          <w:kern w:val="2"/>
          <w:sz w:val="32"/>
          <w:szCs w:val="32"/>
          <w:lang w:val="en-US" w:eastAsia="zh-CN"/>
        </w:rPr>
        <w:t>8.33</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完成了水土保持区域评估编制</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5</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zh-CN"/>
        </w:rPr>
        <w:t>100</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99.50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99.50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100.00</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已通过专家评审，形成稳定成果</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widowControl/>
        <w:spacing w:beforeAutospacing="0" w:afterAutospacing="0"/>
        <w:ind w:firstLine="640" w:firstLineChars="200"/>
        <w:rPr>
          <w:rFonts w:ascii="Times New Roman" w:hAnsi="Times New Roman" w:eastAsia="仿宋_GB2312"/>
          <w:sz w:val="32"/>
          <w:szCs w:val="32"/>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6</w:t>
      </w:r>
      <w:r>
        <w:rPr>
          <w:rFonts w:hint="eastAsia" w:ascii="Times New Roman" w:hAnsi="Times New Roman" w:eastAsia="仿宋_GB2312"/>
          <w:kern w:val="2"/>
          <w:sz w:val="32"/>
          <w:szCs w:val="32"/>
          <w:lang w:val="zh-CN"/>
        </w:rPr>
        <w:t>）专项宣传教育经费</w:t>
      </w:r>
      <w:r>
        <w:rPr>
          <w:rFonts w:ascii="Times New Roman" w:hAnsi="Times New Roman" w:eastAsia="仿宋_GB2312"/>
          <w:kern w:val="2"/>
          <w:sz w:val="32"/>
          <w:szCs w:val="32"/>
          <w:lang w:val="zh-CN"/>
        </w:rPr>
        <w:t>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92.95</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4</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3.50</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87.46</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保障了宣传教育工作开展</w:t>
      </w:r>
      <w:r>
        <w:rPr>
          <w:rFonts w:ascii="Times New Roman" w:hAnsi="Times New Roman" w:eastAsia="仿宋_GB2312"/>
          <w:kern w:val="2"/>
          <w:sz w:val="32"/>
          <w:szCs w:val="32"/>
          <w:lang w:val="zh-CN"/>
        </w:rPr>
        <w:t>；二是</w:t>
      </w:r>
      <w:r>
        <w:rPr>
          <w:rFonts w:hint="eastAsia" w:ascii="Times New Roman" w:hAnsi="Times New Roman" w:eastAsia="仿宋_GB2312"/>
          <w:kern w:val="2"/>
          <w:sz w:val="32"/>
          <w:szCs w:val="32"/>
          <w:lang w:val="zh-CN"/>
        </w:rPr>
        <w:t>预算执行率好，预算制定科学合理</w:t>
      </w:r>
      <w:r>
        <w:rPr>
          <w:rFonts w:ascii="Times New Roman" w:hAnsi="Times New Roman" w:eastAsia="仿宋_GB2312"/>
          <w:kern w:val="2"/>
          <w:sz w:val="32"/>
          <w:szCs w:val="32"/>
          <w:lang w:val="zh-CN"/>
        </w:rPr>
        <w:t>。</w:t>
      </w:r>
      <w:r>
        <w:rPr>
          <w:rFonts w:ascii="Times New Roman" w:hAnsi="Times New Roman" w:eastAsia="仿宋_GB2312"/>
          <w:sz w:val="32"/>
          <w:szCs w:val="32"/>
        </w:rPr>
        <w:t>完成了年初设定的各项绩效目标。未发现问题。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7</w:t>
      </w:r>
      <w:r>
        <w:rPr>
          <w:rFonts w:hint="eastAsia" w:ascii="Times New Roman" w:hAnsi="Times New Roman" w:eastAsia="仿宋_GB2312"/>
          <w:kern w:val="2"/>
          <w:sz w:val="32"/>
          <w:szCs w:val="32"/>
          <w:lang w:val="zh-CN"/>
        </w:rPr>
        <w:t>）专项印刷及招商推介资料费</w:t>
      </w:r>
      <w:r>
        <w:rPr>
          <w:rFonts w:ascii="Times New Roman" w:hAnsi="Times New Roman" w:eastAsia="仿宋_GB2312"/>
          <w:kern w:val="2"/>
          <w:sz w:val="32"/>
          <w:szCs w:val="32"/>
          <w:lang w:val="zh-CN"/>
        </w:rPr>
        <w:t>绩效自评情况：根据年初设定的绩效目标，</w:t>
      </w:r>
      <w:r>
        <w:rPr>
          <w:rFonts w:hint="eastAsia" w:ascii="Times New Roman" w:hAnsi="Times New Roman" w:eastAsia="仿宋_GB2312"/>
          <w:kern w:val="2"/>
          <w:sz w:val="32"/>
          <w:szCs w:val="32"/>
          <w:lang w:val="zh-CN"/>
        </w:rPr>
        <w:t>唐山新城专项规划设计</w:t>
      </w:r>
      <w:r>
        <w:rPr>
          <w:rFonts w:ascii="Times New Roman" w:hAnsi="Times New Roman" w:eastAsia="仿宋_GB2312"/>
          <w:kern w:val="2"/>
          <w:sz w:val="32"/>
          <w:szCs w:val="32"/>
          <w:lang w:val="zh-CN"/>
        </w:rPr>
        <w:t>项目绩效自评得分为</w:t>
      </w:r>
      <w:r>
        <w:rPr>
          <w:rFonts w:hint="eastAsia" w:ascii="Times New Roman" w:hAnsi="Times New Roman" w:eastAsia="仿宋_GB2312"/>
          <w:kern w:val="2"/>
          <w:sz w:val="32"/>
          <w:szCs w:val="32"/>
          <w:lang w:val="en-US" w:eastAsia="zh-CN"/>
        </w:rPr>
        <w:t>92.97</w:t>
      </w:r>
      <w:r>
        <w:rPr>
          <w:rFonts w:ascii="Times New Roman" w:hAnsi="Times New Roman" w:eastAsia="仿宋_GB2312"/>
          <w:kern w:val="2"/>
          <w:sz w:val="32"/>
          <w:szCs w:val="32"/>
          <w:lang w:val="zh-CN"/>
        </w:rPr>
        <w:t>分（绩效自评表附后）。全年预算数为</w:t>
      </w:r>
      <w:r>
        <w:rPr>
          <w:rFonts w:hint="eastAsia" w:ascii="Times New Roman" w:hAnsi="Times New Roman" w:eastAsia="仿宋_GB2312"/>
          <w:kern w:val="2"/>
          <w:sz w:val="32"/>
          <w:szCs w:val="32"/>
          <w:lang w:val="en-US" w:eastAsia="zh-CN"/>
        </w:rPr>
        <w:t>18.00</w:t>
      </w:r>
      <w:r>
        <w:rPr>
          <w:rFonts w:ascii="Times New Roman" w:hAnsi="Times New Roman" w:eastAsia="仿宋_GB2312"/>
          <w:kern w:val="2"/>
          <w:sz w:val="32"/>
          <w:szCs w:val="32"/>
          <w:lang w:val="zh-CN"/>
        </w:rPr>
        <w:t>万元，执行数为</w:t>
      </w:r>
      <w:r>
        <w:rPr>
          <w:rFonts w:hint="eastAsia" w:ascii="Times New Roman" w:hAnsi="Times New Roman" w:eastAsia="仿宋_GB2312"/>
          <w:kern w:val="2"/>
          <w:sz w:val="32"/>
          <w:szCs w:val="32"/>
          <w:lang w:val="en-US" w:eastAsia="zh-CN"/>
        </w:rPr>
        <w:t>5.34</w:t>
      </w:r>
      <w:r>
        <w:rPr>
          <w:rFonts w:ascii="Times New Roman" w:hAnsi="Times New Roman" w:eastAsia="仿宋_GB2312"/>
          <w:kern w:val="2"/>
          <w:sz w:val="32"/>
          <w:szCs w:val="32"/>
          <w:lang w:val="zh-CN"/>
        </w:rPr>
        <w:t>万元，完成预算的</w:t>
      </w:r>
      <w:r>
        <w:rPr>
          <w:rFonts w:hint="eastAsia" w:ascii="Times New Roman" w:hAnsi="Times New Roman" w:eastAsia="仿宋_GB2312"/>
          <w:kern w:val="2"/>
          <w:sz w:val="32"/>
          <w:szCs w:val="32"/>
          <w:lang w:val="en-US" w:eastAsia="zh-CN"/>
        </w:rPr>
        <w:t>29.69</w:t>
      </w:r>
      <w:r>
        <w:rPr>
          <w:rFonts w:ascii="Times New Roman" w:hAnsi="Times New Roman" w:eastAsia="仿宋_GB2312"/>
          <w:kern w:val="2"/>
          <w:sz w:val="32"/>
          <w:szCs w:val="32"/>
          <w:lang w:val="zh-CN"/>
        </w:rPr>
        <w:t>%。项目绩效目标完成情况：一是</w:t>
      </w:r>
      <w:r>
        <w:rPr>
          <w:rFonts w:hint="eastAsia" w:ascii="Times New Roman" w:hAnsi="Times New Roman" w:eastAsia="仿宋_GB2312"/>
          <w:kern w:val="2"/>
          <w:sz w:val="32"/>
          <w:szCs w:val="32"/>
          <w:lang w:val="zh-CN"/>
        </w:rPr>
        <w:t>满足了业务开展需求；二是印刷合格率、及时率较高</w:t>
      </w:r>
      <w:r>
        <w:rPr>
          <w:rFonts w:ascii="Times New Roman" w:hAnsi="Times New Roman" w:eastAsia="仿宋_GB2312"/>
          <w:sz w:val="32"/>
          <w:szCs w:val="32"/>
        </w:rPr>
        <w:t>。</w:t>
      </w:r>
      <w:r>
        <w:rPr>
          <w:rFonts w:hint="eastAsia" w:ascii="Times New Roman" w:hAnsi="Times New Roman" w:eastAsia="仿宋_GB2312"/>
          <w:sz w:val="32"/>
          <w:szCs w:val="32"/>
          <w:lang w:eastAsia="zh-CN"/>
        </w:rPr>
        <w:t>以后年度根据业务需要，及时调整预算</w:t>
      </w:r>
      <w:r>
        <w:rPr>
          <w:rFonts w:ascii="Times New Roman" w:hAnsi="Times New Roman" w:eastAsia="仿宋_GB2312"/>
          <w:sz w:val="32"/>
          <w:szCs w:val="32"/>
        </w:rPr>
        <w:t>。</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附项目支出绩效自评表</w:t>
      </w:r>
    </w:p>
    <w:p>
      <w:pPr>
        <w:rPr>
          <w:rFonts w:hint="default" w:ascii="Times New Roman" w:hAnsi="Times New Roman" w:eastAsia="仿宋_GB2312" w:cs="Times New Roman"/>
          <w:sz w:val="32"/>
          <w:szCs w:val="32"/>
          <w:highlight w:val="yellow"/>
        </w:rPr>
      </w:pPr>
      <w:r>
        <w:rPr>
          <w:rFonts w:hint="eastAsia" w:ascii="Times New Roman" w:hAnsi="Times New Roman" w:eastAsia="仿宋_GB2312" w:cs="Times New Roman"/>
          <w:sz w:val="32"/>
          <w:szCs w:val="32"/>
          <w:highlight w:val="none"/>
          <w:lang w:eastAsia="zh-CN"/>
        </w:rPr>
        <w:drawing>
          <wp:inline distT="0" distB="0" distL="114300" distR="114300">
            <wp:extent cx="5572760" cy="3185795"/>
            <wp:effectExtent l="0" t="0" r="8890" b="14605"/>
            <wp:docPr id="5" name="图片 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1"/>
                    <pic:cNvPicPr>
                      <a:picLocks noChangeAspect="1"/>
                    </pic:cNvPicPr>
                  </pic:nvPicPr>
                  <pic:blipFill>
                    <a:blip r:embed="rId15"/>
                    <a:stretch>
                      <a:fillRect/>
                    </a:stretch>
                  </pic:blipFill>
                  <pic:spPr>
                    <a:xfrm>
                      <a:off x="0" y="0"/>
                      <a:ext cx="5572760" cy="3185795"/>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621020" cy="3130550"/>
            <wp:effectExtent l="0" t="0" r="17780" b="12700"/>
            <wp:docPr id="7" name="图片 7" descr="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222222"/>
                    <pic:cNvPicPr>
                      <a:picLocks noChangeAspect="1"/>
                    </pic:cNvPicPr>
                  </pic:nvPicPr>
                  <pic:blipFill>
                    <a:blip r:embed="rId16"/>
                    <a:stretch>
                      <a:fillRect/>
                    </a:stretch>
                  </pic:blipFill>
                  <pic:spPr>
                    <a:xfrm>
                      <a:off x="0" y="0"/>
                      <a:ext cx="5621020" cy="3130550"/>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631815" cy="3398520"/>
            <wp:effectExtent l="0" t="0" r="6985" b="11430"/>
            <wp:docPr id="9" name="图片 9" descr="333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33333"/>
                    <pic:cNvPicPr>
                      <a:picLocks noChangeAspect="1"/>
                    </pic:cNvPicPr>
                  </pic:nvPicPr>
                  <pic:blipFill>
                    <a:blip r:embed="rId17"/>
                    <a:stretch>
                      <a:fillRect/>
                    </a:stretch>
                  </pic:blipFill>
                  <pic:spPr>
                    <a:xfrm>
                      <a:off x="0" y="0"/>
                      <a:ext cx="5631815" cy="3398520"/>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675630" cy="3437890"/>
            <wp:effectExtent l="0" t="0" r="1270" b="10160"/>
            <wp:docPr id="10" name="图片 10" descr="唐山新城水土保持区域评估项目绩效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唐山新城水土保持区域评估项目绩效表"/>
                    <pic:cNvPicPr>
                      <a:picLocks noChangeAspect="1"/>
                    </pic:cNvPicPr>
                  </pic:nvPicPr>
                  <pic:blipFill>
                    <a:blip r:embed="rId18"/>
                    <a:stretch>
                      <a:fillRect/>
                    </a:stretch>
                  </pic:blipFill>
                  <pic:spPr>
                    <a:xfrm>
                      <a:off x="0" y="0"/>
                      <a:ext cx="5675630" cy="3437890"/>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476240" cy="3228340"/>
            <wp:effectExtent l="0" t="0" r="10160" b="10160"/>
            <wp:docPr id="11" name="图片 11" descr="唐山新城专项规划设计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唐山新城专项规划设计费"/>
                    <pic:cNvPicPr>
                      <a:picLocks noChangeAspect="1"/>
                    </pic:cNvPicPr>
                  </pic:nvPicPr>
                  <pic:blipFill>
                    <a:blip r:embed="rId19"/>
                    <a:stretch>
                      <a:fillRect/>
                    </a:stretch>
                  </pic:blipFill>
                  <pic:spPr>
                    <a:xfrm>
                      <a:off x="0" y="0"/>
                      <a:ext cx="5476240" cy="3228340"/>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489575" cy="3190875"/>
            <wp:effectExtent l="0" t="0" r="15875" b="9525"/>
            <wp:docPr id="13" name="图片 13" descr="专项宣传教育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专项宣传教育经费"/>
                    <pic:cNvPicPr>
                      <a:picLocks noChangeAspect="1"/>
                    </pic:cNvPicPr>
                  </pic:nvPicPr>
                  <pic:blipFill>
                    <a:blip r:embed="rId20"/>
                    <a:stretch>
                      <a:fillRect/>
                    </a:stretch>
                  </pic:blipFill>
                  <pic:spPr>
                    <a:xfrm>
                      <a:off x="0" y="0"/>
                      <a:ext cx="5489575" cy="3190875"/>
                    </a:xfrm>
                    <a:prstGeom prst="rect">
                      <a:avLst/>
                    </a:prstGeom>
                  </pic:spPr>
                </pic:pic>
              </a:graphicData>
            </a:graphic>
          </wp:inline>
        </w:drawing>
      </w:r>
      <w:r>
        <w:rPr>
          <w:rFonts w:hint="eastAsia" w:ascii="Times New Roman" w:hAnsi="Times New Roman" w:eastAsia="仿宋_GB2312" w:cs="Times New Roman"/>
          <w:sz w:val="32"/>
          <w:szCs w:val="32"/>
          <w:highlight w:val="none"/>
          <w:lang w:eastAsia="zh-CN"/>
        </w:rPr>
        <w:drawing>
          <wp:inline distT="0" distB="0" distL="114300" distR="114300">
            <wp:extent cx="5569585" cy="3334385"/>
            <wp:effectExtent l="0" t="0" r="12065" b="18415"/>
            <wp:docPr id="15" name="图片 15" descr="专项印刷及招商资料推介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项印刷及招商资料推介费"/>
                    <pic:cNvPicPr>
                      <a:picLocks noChangeAspect="1"/>
                    </pic:cNvPicPr>
                  </pic:nvPicPr>
                  <pic:blipFill>
                    <a:blip r:embed="rId21"/>
                    <a:stretch>
                      <a:fillRect/>
                    </a:stretch>
                  </pic:blipFill>
                  <pic:spPr>
                    <a:xfrm>
                      <a:off x="0" y="0"/>
                      <a:ext cx="5569585" cy="3334385"/>
                    </a:xfrm>
                    <a:prstGeom prst="rect">
                      <a:avLst/>
                    </a:prstGeom>
                  </pic:spPr>
                </pic:pic>
              </a:graphicData>
            </a:graphic>
          </wp:inline>
        </w:drawing>
      </w: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部门评价项目绩效评价结果（如有）</w:t>
      </w:r>
    </w:p>
    <w:p>
      <w:pPr>
        <w:numPr>
          <w:ilvl w:val="0"/>
          <w:numId w:val="0"/>
        </w:numPr>
        <w:adjustRightInd w:val="0"/>
        <w:snapToGrid w:val="0"/>
        <w:spacing w:line="580" w:lineRule="exact"/>
        <w:ind w:firstLine="696" w:firstLineChars="200"/>
        <w:rPr>
          <w:rFonts w:hint="default" w:ascii="Times New Roman" w:hAnsi="Times New Roman" w:eastAsia="仿宋_GB2312" w:cs="Times New Roman"/>
          <w:b/>
          <w:bCs/>
          <w:sz w:val="32"/>
          <w:szCs w:val="32"/>
        </w:rPr>
      </w:pPr>
      <w:r>
        <w:rPr>
          <w:rFonts w:hint="eastAsia" w:ascii="仿宋_GB2312" w:hAnsi="仿宋_GB2312" w:eastAsia="仿宋_GB2312" w:cs="仿宋_GB2312"/>
          <w:spacing w:val="14"/>
          <w:sz w:val="32"/>
          <w:szCs w:val="32"/>
          <w:lang w:val="en-US" w:eastAsia="en-US"/>
        </w:rPr>
        <w:t>预算项目的预期绩效目标完成</w:t>
      </w:r>
      <w:r>
        <w:rPr>
          <w:rFonts w:hint="eastAsia" w:ascii="仿宋_GB2312" w:hAnsi="仿宋_GB2312" w:eastAsia="仿宋_GB2312" w:cs="仿宋_GB2312"/>
          <w:spacing w:val="14"/>
          <w:sz w:val="32"/>
          <w:szCs w:val="32"/>
          <w:lang w:val="en-US" w:eastAsia="zh-CN"/>
        </w:rPr>
        <w:t>较好，各预算项目自评得分均在90分以上，基本</w:t>
      </w:r>
      <w:r>
        <w:rPr>
          <w:rFonts w:hint="eastAsia" w:ascii="仿宋_GB2312" w:hAnsi="仿宋_GB2312" w:eastAsia="仿宋_GB2312" w:cs="仿宋_GB2312"/>
          <w:spacing w:val="14"/>
          <w:sz w:val="32"/>
          <w:szCs w:val="32"/>
          <w:lang w:val="en-US" w:eastAsia="en-US"/>
        </w:rPr>
        <w:t>完成绩效目标</w:t>
      </w:r>
      <w:r>
        <w:rPr>
          <w:rFonts w:hint="eastAsia" w:ascii="仿宋_GB2312" w:hAnsi="仿宋_GB2312" w:eastAsia="仿宋_GB2312" w:cs="仿宋_GB2312"/>
          <w:spacing w:val="14"/>
          <w:sz w:val="32"/>
          <w:szCs w:val="32"/>
          <w:lang w:val="en-US" w:eastAsia="zh-CN"/>
        </w:rPr>
        <w:t>，无</w:t>
      </w:r>
      <w:r>
        <w:rPr>
          <w:rFonts w:hint="eastAsia" w:ascii="仿宋_GB2312" w:hAnsi="仿宋_GB2312" w:eastAsia="仿宋_GB2312" w:cs="仿宋_GB2312"/>
          <w:spacing w:val="14"/>
          <w:sz w:val="32"/>
          <w:szCs w:val="32"/>
          <w:lang w:val="en-US" w:eastAsia="en-US"/>
        </w:rPr>
        <w:t>偏离绩效目标较大的</w:t>
      </w:r>
      <w:r>
        <w:rPr>
          <w:rFonts w:hint="eastAsia" w:ascii="仿宋_GB2312" w:hAnsi="仿宋_GB2312" w:eastAsia="仿宋_GB2312" w:cs="仿宋_GB2312"/>
          <w:spacing w:val="14"/>
          <w:sz w:val="32"/>
          <w:szCs w:val="32"/>
          <w:lang w:val="en-US" w:eastAsia="zh-CN"/>
        </w:rPr>
        <w:t>项目</w:t>
      </w:r>
      <w:r>
        <w:rPr>
          <w:rFonts w:hint="eastAsia" w:ascii="仿宋_GB2312" w:hAnsi="仿宋_GB2312" w:eastAsia="仿宋_GB2312" w:cs="仿宋_GB2312"/>
          <w:spacing w:val="14"/>
          <w:sz w:val="32"/>
          <w:szCs w:val="32"/>
          <w:lang w:val="en-US" w:eastAsia="en-US"/>
        </w:rPr>
        <w:t>。</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Cs/>
          <w:sz w:val="32"/>
          <w:szCs w:val="32"/>
        </w:rPr>
        <w:t>政府性基金预算财政拨款</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政府性基金预算财政拨款收入支出决算</w:t>
      </w:r>
      <w:r>
        <w:rPr>
          <w:rFonts w:ascii="Times New Roman" w:hAnsi="Times New Roman" w:eastAsia="仿宋_GB2312" w:cs="Times New Roman"/>
          <w:sz w:val="32"/>
          <w:szCs w:val="32"/>
        </w:rPr>
        <w:t>表以空表列示。</w:t>
      </w:r>
      <w:r>
        <w:rPr>
          <w:rFonts w:hint="eastAsia" w:ascii="方正仿宋_GB2312" w:hAnsi="方正仿宋_GB2312" w:eastAsia="方正仿宋_GB2312" w:cs="方正仿宋_GB2312"/>
          <w:bCs/>
          <w:sz w:val="32"/>
          <w:szCs w:val="32"/>
        </w:rPr>
        <w:t>国有资本经营预算财政拨款</w:t>
      </w:r>
      <w:r>
        <w:rPr>
          <w:rFonts w:ascii="Times New Roman" w:hAnsi="Times New Roman" w:eastAsia="仿宋_GB2312" w:cs="Times New Roman"/>
          <w:sz w:val="32"/>
          <w:szCs w:val="32"/>
        </w:rPr>
        <w:t>无收支及结转结余情况，故</w:t>
      </w:r>
      <w:r>
        <w:rPr>
          <w:rFonts w:hint="eastAsia" w:ascii="方正仿宋_GB2312" w:hAnsi="方正仿宋_GB2312" w:eastAsia="方正仿宋_GB2312" w:cs="方正仿宋_GB2312"/>
          <w:bCs/>
          <w:sz w:val="32"/>
          <w:szCs w:val="32"/>
        </w:rPr>
        <w:t>国有资本经营预算财政拨款支出决算表</w:t>
      </w:r>
      <w:r>
        <w:rPr>
          <w:rFonts w:ascii="Times New Roman" w:hAnsi="Times New Roman" w:eastAsia="仿宋_GB2312" w:cs="Times New Roman"/>
          <w:sz w:val="32"/>
          <w:szCs w:val="32"/>
        </w:rPr>
        <w:t>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12F9676-3FF4-41EC-A9E5-F5FBFDCD0FE7}"/>
  </w:font>
  <w:font w:name="黑体">
    <w:panose1 w:val="02010609060101010101"/>
    <w:charset w:val="86"/>
    <w:family w:val="auto"/>
    <w:pitch w:val="default"/>
    <w:sig w:usb0="800002BF" w:usb1="38CF7CFA" w:usb2="00000016" w:usb3="00000000" w:csb0="00040001" w:csb1="00000000"/>
    <w:embedRegular r:id="rId2" w:fontKey="{2A12D77C-2EBF-4C48-B89E-17EBF00613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0521CD3-44AF-4421-B1E3-30B4056F5EF5}"/>
  </w:font>
  <w:font w:name="仿宋">
    <w:panose1 w:val="02010609060101010101"/>
    <w:charset w:val="86"/>
    <w:family w:val="modern"/>
    <w:pitch w:val="default"/>
    <w:sig w:usb0="800002BF" w:usb1="38CF7CFA" w:usb2="00000016" w:usb3="00000000" w:csb0="00040001" w:csb1="00000000"/>
    <w:embedRegular r:id="rId4" w:fontKey="{FB849C8D-0172-4AB1-9E27-3B3086A88D08}"/>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296CAA4C-1F74-4E61-8244-CFBA65114173}"/>
  </w:font>
  <w:font w:name="微软雅黑">
    <w:panose1 w:val="020B0503020204020204"/>
    <w:charset w:val="86"/>
    <w:family w:val="auto"/>
    <w:pitch w:val="default"/>
    <w:sig w:usb0="80000287" w:usb1="280F3C52" w:usb2="00000016" w:usb3="00000000" w:csb0="0004001F" w:csb1="00000000"/>
  </w:font>
  <w:font w:name="思源黑体 CN Heavy">
    <w:altName w:val="黑体"/>
    <w:panose1 w:val="00000000000000000000"/>
    <w:charset w:val="86"/>
    <w:family w:val="swiss"/>
    <w:pitch w:val="default"/>
    <w:sig w:usb0="00000000" w:usb1="00000000" w:usb2="00000016" w:usb3="00000000" w:csb0="00060107" w:csb1="00000000"/>
    <w:embedRegular r:id="rId6" w:fontKey="{51180943-4D6A-4C56-AFF6-708D29EAE71E}"/>
  </w:font>
  <w:font w:name="楷体_GB2312">
    <w:panose1 w:val="02010609030101010101"/>
    <w:charset w:val="86"/>
    <w:family w:val="auto"/>
    <w:pitch w:val="default"/>
    <w:sig w:usb0="00000001" w:usb1="080E0000" w:usb2="00000000" w:usb3="00000000" w:csb0="00040000" w:csb1="00000000"/>
    <w:embedRegular r:id="rId7" w:fontKey="{7E9CF7E6-4B89-4E5E-92B4-4324D7EBF65F}"/>
  </w:font>
  <w:font w:name="仿宋_GB2312">
    <w:panose1 w:val="02010609030101010101"/>
    <w:charset w:val="86"/>
    <w:family w:val="auto"/>
    <w:pitch w:val="default"/>
    <w:sig w:usb0="00000001" w:usb1="080E0000" w:usb2="00000000" w:usb3="00000000" w:csb0="00040000" w:csb1="00000000"/>
    <w:embedRegular r:id="rId8" w:fontKey="{7E89226A-2A70-445E-9485-922EC286B257}"/>
  </w:font>
  <w:font w:name="ArialUnicodeMS">
    <w:altName w:val="Malgun Gothic"/>
    <w:panose1 w:val="00000000000000000000"/>
    <w:charset w:val="81"/>
    <w:family w:val="auto"/>
    <w:pitch w:val="default"/>
    <w:sig w:usb0="00000000" w:usb1="00000000" w:usb2="00000010" w:usb3="00000000" w:csb0="00080001" w:csb1="00000000"/>
    <w:embedRegular r:id="rId9" w:fontKey="{4B9FA71E-72F5-4C0C-BD72-CEDE1D8F1851}"/>
  </w:font>
  <w:font w:name="Malgun Gothic">
    <w:panose1 w:val="020B0503020000020004"/>
    <w:charset w:val="81"/>
    <w:family w:val="auto"/>
    <w:pitch w:val="default"/>
    <w:sig w:usb0="900002AF" w:usb1="01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0" w:fontKey="{59CF660E-6D8A-4992-B97E-F33361DE70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72C93AD2"/>
    <w:multiLevelType w:val="singleLevel"/>
    <w:tmpl w:val="72C93AD2"/>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IsImhkaWQiOiJhNTNkYWYzYTFlMzM0MGIzNTg2NTQ1ZTJiOGE1ZGM0NyIsInVzZXJDb3VudCI6Mn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050CB6"/>
    <w:rsid w:val="049C1B9D"/>
    <w:rsid w:val="04BD008C"/>
    <w:rsid w:val="04C55939"/>
    <w:rsid w:val="04DA28BB"/>
    <w:rsid w:val="04F528BE"/>
    <w:rsid w:val="050E10CE"/>
    <w:rsid w:val="054F2DFB"/>
    <w:rsid w:val="05991C82"/>
    <w:rsid w:val="05DE11B6"/>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3325DA"/>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6422BB"/>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B3185"/>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5FE4433E"/>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1.sv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40</Pages>
  <Words>10771</Words>
  <Characters>12836</Characters>
  <Lines>86</Lines>
  <Paragraphs>24</Paragraphs>
  <TotalTime>0</TotalTime>
  <ScaleCrop>false</ScaleCrop>
  <LinksUpToDate>false</LinksUpToDate>
  <CharactersWithSpaces>13433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2024-09-27T08:45:47Z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656DB18BDE1E4E9086C7AEB019D2837F</vt:lpwstr>
  </property>
  <property fmtid="{D5CDD505-2E9C-101B-9397-08002B2CF9AE}" pid="4" name="KSOTemplateUUID">
    <vt:lpwstr>v1.0_mb_S7ajbG3IpAnL1wSthNCxfw==</vt:lpwstr>
  </property>
</Properties>
</file>