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0" w:name="_GoBack"/>
      <w:r>
        <w:drawing>
          <wp:anchor distT="0" distB="0" distL="114300" distR="114300" simplePos="0" relativeHeight="251659264" behindDoc="1" locked="0" layoutInCell="1" allowOverlap="1">
            <wp:simplePos x="0" y="0"/>
            <wp:positionH relativeFrom="margin">
              <wp:posOffset>-2864485</wp:posOffset>
            </wp:positionH>
            <wp:positionV relativeFrom="margin">
              <wp:posOffset>643890</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bookmarkEnd w:id="0"/>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804003</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：唐山市"一港双城"开发建设服务中心</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25"/>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负责为“一港双城”开发建设提供政策咨询服务，协助办理有关建设项目手续；开展对外宣传推介，为招商引资提供服务；负责重大活动和重大合作的对接服务工作；承担市“一港双城”办交办的其他工作。</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r>
        <w:rPr>
          <w:rFonts w:hint="eastAsia" w:ascii="黑体" w:hAnsi="宋体" w:eastAsia="黑体" w:cs="黑体"/>
          <w:i w:val="0"/>
          <w:iCs w:val="0"/>
          <w:caps w:val="0"/>
          <w:color w:val="000000"/>
          <w:spacing w:val="0"/>
          <w:sz w:val="32"/>
          <w:szCs w:val="32"/>
          <w:highlight w:val="none"/>
          <w:shd w:val="clear" w:fill="FFFFFF"/>
        </w:rPr>
        <w:t>机构设置</w:t>
      </w:r>
    </w:p>
    <w:p>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outlineLvl w:val="1"/>
        <w:rPr>
          <w:rFonts w:hint="eastAsia" w:ascii="黑体" w:hAnsi="宋体" w:eastAsia="黑体" w:cs="黑体"/>
          <w:i w:val="0"/>
          <w:iCs w:val="0"/>
          <w:caps w:val="0"/>
          <w:color w:val="000000"/>
          <w:spacing w:val="0"/>
          <w:sz w:val="32"/>
          <w:szCs w:val="32"/>
          <w:highlight w:val="none"/>
          <w:shd w:val="clear" w:fill="FFFFFF"/>
          <w:lang w:val="en-US" w:eastAsia="zh-CN"/>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唐山市“一港双城”开发建设服务中心</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编制部门（单位）：唐山市"一港双城"开发建设服务中心</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编制部门（单位）：唐山市"一港双城"开发建设服务中心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140.09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140.09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进修及培训</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培训支出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编制部门（单位）：唐山市"一港双城"开发建设服务中心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编制部门（单位）：唐山市"一港双城"开发建设服务中心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0.27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0.27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18.62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18.62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140.09</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2"/>
        <w:gridCol w:w="3416"/>
        <w:gridCol w:w="1149"/>
        <w:gridCol w:w="762"/>
        <w:gridCol w:w="794"/>
        <w:gridCol w:w="38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编制部门（单位）：唐山市"一港双城"开发建设服务中心</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140.09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15.37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编制部门（单位）：唐山市"一港双城"开发建设服务中心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138.36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31.56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0.45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6.94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51.30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18.62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8.06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9.39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138.40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编制部门（单位）：唐山市"一港双城"开发建设服务中心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编制部门（单位）：唐山市"一港双城"开发建设服务中心</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编制部门（单位）：唐山市"一港双城"开发建设服务中心</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0.05</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0.05</w:t>
            </w: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度单位</w:t>
      </w:r>
      <w:r>
        <w:rPr>
          <w:rFonts w:hint="eastAsia" w:ascii="黑体" w:hAnsi="宋体" w:eastAsia="黑体" w:cs="黑体"/>
          <w:i w:val="0"/>
          <w:iCs w:val="0"/>
          <w:caps w:val="0"/>
          <w:color w:val="000000"/>
          <w:spacing w:val="-20"/>
          <w:sz w:val="72"/>
          <w:szCs w:val="72"/>
          <w:highlight w:val="none"/>
          <w:shd w:val="clear" w:fill="FFFFFF"/>
        </w:rPr>
        <w:t>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140.09</w:t>
      </w:r>
      <w:r>
        <w:rPr>
          <w:rFonts w:hint="default" w:ascii="Times New Roman" w:hAnsi="Times New Roman" w:eastAsia="仿宋_GB2312" w:cs="Times New Roman"/>
          <w:kern w:val="2"/>
          <w:sz w:val="32"/>
          <w:szCs w:val="32"/>
          <w:lang w:eastAsia="zh-CN"/>
        </w:rPr>
        <w:t>万元。与2022年度决算相比，收支各增加（减少）</w:t>
      </w:r>
      <w:r>
        <w:rPr>
          <w:rFonts w:hint="eastAsia" w:ascii="Times New Roman" w:hAnsi="Times New Roman" w:eastAsia="仿宋_GB2312" w:cs="Times New Roman"/>
          <w:kern w:val="2"/>
          <w:sz w:val="32"/>
          <w:szCs w:val="32"/>
          <w:lang w:val="en-US" w:eastAsia="zh-CN"/>
        </w:rPr>
        <w:t>140.09</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140.09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，其中：财政拨款收入140.09万元，占100%；上级补助收入0万元，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140.09万元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140.09万元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占100%；</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年度财政拨款本年收入140.09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元,比上年增加140.09万元，增长</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color w:val="auto"/>
          <w:kern w:val="2"/>
          <w:sz w:val="32"/>
          <w:szCs w:val="32"/>
          <w:lang w:val="zh-CN" w:eastAsia="zh-CN" w:bidi="ar-SA"/>
        </w:rPr>
        <w:t>；本年支出 140.09万元，比上年增加140.09万元，增长</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一般公共预算财政拨款本年收入140.09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,比上年增加140.09万元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kern w:val="2"/>
          <w:sz w:val="32"/>
          <w:szCs w:val="32"/>
          <w:lang w:val="zh-CN"/>
        </w:rPr>
        <w:t>；本年支出 140.09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元，比上年增加140.09万元，增长（降低）</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年度财政拨款本年收入140.09万元，完成年初预算的169.7%，比年初预算增加</w:t>
      </w:r>
      <w:r>
        <w:rPr>
          <w:rFonts w:hint="eastAsia" w:ascii="Times New Roman" w:hAnsi="Times New Roman" w:eastAsia="仿宋_GB2312" w:cs="Times New Roman"/>
          <w:color w:val="auto"/>
          <w:kern w:val="2"/>
          <w:sz w:val="32"/>
          <w:szCs w:val="32"/>
          <w:lang w:val="en-US" w:eastAsia="zh-CN" w:bidi="ar-SA"/>
        </w:rPr>
        <w:t>57.54</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en-US" w:eastAsia="zh-CN" w:bidi="ar-SA"/>
        </w:rPr>
        <w:t>2022年12月调入3人，未能参与2023年度预算编制</w:t>
      </w:r>
      <w:r>
        <w:rPr>
          <w:rFonts w:hint="default" w:ascii="Times New Roman" w:hAnsi="Times New Roman" w:eastAsia="仿宋_GB2312" w:cs="Times New Roman"/>
          <w:color w:val="auto"/>
          <w:kern w:val="2"/>
          <w:sz w:val="32"/>
          <w:szCs w:val="32"/>
          <w:lang w:val="zh-CN" w:eastAsia="zh-CN" w:bidi="ar-SA"/>
        </w:rPr>
        <w:t>；本年支出140.09万元，完成年初预算的169.7%，比年初预算增加</w:t>
      </w:r>
      <w:r>
        <w:rPr>
          <w:rFonts w:hint="eastAsia" w:ascii="Times New Roman" w:hAnsi="Times New Roman" w:eastAsia="仿宋_GB2312" w:cs="Times New Roman"/>
          <w:color w:val="auto"/>
          <w:kern w:val="2"/>
          <w:sz w:val="32"/>
          <w:szCs w:val="32"/>
          <w:lang w:val="en-US" w:eastAsia="zh-CN" w:bidi="ar-SA"/>
        </w:rPr>
        <w:t>57.54</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lang w:val="en-US" w:eastAsia="zh-CN"/>
        </w:rPr>
        <w:t>2022</w:t>
      </w:r>
      <w:r>
        <w:rPr>
          <w:rFonts w:hint="eastAsia" w:ascii="Times New Roman" w:hAnsi="Times New Roman" w:eastAsia="仿宋_GB2312" w:cs="Times New Roman"/>
          <w:color w:val="auto"/>
          <w:kern w:val="2"/>
          <w:sz w:val="32"/>
          <w:szCs w:val="32"/>
          <w:lang w:val="en-US" w:eastAsia="zh-CN" w:bidi="ar-SA"/>
        </w:rPr>
        <w:t>年12月调入3人，未能参与2023年度预算编制</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收入140.09万元，完成年初预算的 169.7%，比年初预算增加</w:t>
      </w:r>
      <w:r>
        <w:rPr>
          <w:rFonts w:hint="eastAsia" w:ascii="Times New Roman" w:hAnsi="Times New Roman" w:eastAsia="仿宋_GB2312" w:cs="Times New Roman"/>
          <w:color w:val="auto"/>
          <w:kern w:val="2"/>
          <w:sz w:val="32"/>
          <w:szCs w:val="32"/>
          <w:lang w:val="en-US" w:eastAsia="zh-CN" w:bidi="ar-SA"/>
        </w:rPr>
        <w:t>57.54</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2022年12月调入3人，未能参与2023年度预算编制</w:t>
      </w:r>
      <w:r>
        <w:rPr>
          <w:rFonts w:hint="default" w:ascii="Times New Roman" w:hAnsi="Times New Roman" w:eastAsia="仿宋_GB2312" w:cs="Times New Roman"/>
          <w:kern w:val="2"/>
          <w:sz w:val="32"/>
          <w:szCs w:val="32"/>
          <w:lang w:val="zh-CN"/>
        </w:rPr>
        <w:t>；本年支出140.09万元，完成年初预算的169.7%，比年初预算增加</w:t>
      </w:r>
      <w:r>
        <w:rPr>
          <w:rFonts w:hint="eastAsia" w:ascii="Times New Roman" w:hAnsi="Times New Roman" w:eastAsia="仿宋_GB2312" w:cs="Times New Roman"/>
          <w:color w:val="auto"/>
          <w:kern w:val="2"/>
          <w:sz w:val="32"/>
          <w:szCs w:val="32"/>
          <w:lang w:val="en-US" w:eastAsia="zh-CN" w:bidi="ar-SA"/>
        </w:rPr>
        <w:t>57.54</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2022年12月调入3人，未能参与2023年度预算编制</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w:t>
      </w:r>
      <w:r>
        <w:rPr>
          <w:rFonts w:hint="eastAsia"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lang w:val="zh-CN"/>
        </w:rPr>
        <w:t>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没有</w:t>
      </w:r>
      <w:r>
        <w:rPr>
          <w:rFonts w:ascii="Times New Roman" w:hAnsi="Times New Roman" w:eastAsia="仿宋_GB2312" w:cs="Times New Roman"/>
          <w:kern w:val="2"/>
          <w:sz w:val="32"/>
          <w:szCs w:val="32"/>
          <w:lang w:val="zh-CN"/>
        </w:rPr>
        <w:t>政府性基金预算财政拨款收入</w:t>
      </w:r>
      <w:r>
        <w:rPr>
          <w:rFonts w:hint="default" w:ascii="Times New Roman" w:hAnsi="Times New Roman" w:eastAsia="仿宋_GB2312" w:cs="Times New Roman"/>
          <w:kern w:val="2"/>
          <w:sz w:val="32"/>
          <w:szCs w:val="32"/>
          <w:lang w:val="zh-CN"/>
        </w:rPr>
        <w:t>；本年支出0万元，完成年初预算的</w:t>
      </w:r>
      <w:r>
        <w:rPr>
          <w:rFonts w:hint="eastAsia"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lang w:val="zh-CN"/>
        </w:rPr>
        <w:t>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没有</w:t>
      </w:r>
      <w:r>
        <w:rPr>
          <w:rFonts w:ascii="Times New Roman" w:hAnsi="Times New Roman" w:eastAsia="仿宋_GB2312" w:cs="Times New Roman"/>
          <w:kern w:val="2"/>
          <w:sz w:val="32"/>
          <w:szCs w:val="32"/>
          <w:lang w:val="zh-CN"/>
        </w:rPr>
        <w:t>政府性基金预算财政拨款收入</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国有资本经营预算财政拨款收入</w:t>
      </w:r>
      <w:r>
        <w:rPr>
          <w:rFonts w:hint="default" w:ascii="Times New Roman" w:hAnsi="Times New Roman" w:eastAsia="仿宋_GB2312" w:cs="Times New Roman"/>
          <w:kern w:val="2"/>
          <w:sz w:val="32"/>
          <w:szCs w:val="32"/>
          <w:lang w:val="zh-CN"/>
        </w:rPr>
        <w:t>；本年支出0万元，比年初预算增加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国有资本经营预算财政拨款收入</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kern w:val="2"/>
          <w:sz w:val="32"/>
          <w:szCs w:val="32"/>
          <w:lang w:val="zh-CN"/>
        </w:rPr>
        <w:t>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年度财政拨款支出140.09万元，主要用于以下方面：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教育（类）支出0.27万元，占0.19%；社会保障和就业 （类）支出18.62万元，占13.29%；卫生健康（类）支出15.41万元，占11%；城乡社区（类）支出96.41万元，占68.82%；住房保障（类）支出9.39万元，占6.7%；</w:t>
      </w:r>
    </w:p>
    <w:p>
      <w:pPr>
        <w:pStyle w:val="10"/>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年度财政拨款基本支出140.09万元，其中：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人员经费138.4万元，主要包括基本工资、津贴补贴、奖金、绩效工资、机关事业部门基本养老保险缴费、职工基本医疗保险缴费、公务员医疗补助缴费、住房公积金、其他社会保障缴费、其他工资福利支出</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公用经费1.69万元，主要包括办公费、培训费、工会经费、福利费。</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年度“三公”经费财政拨款支出预算为0.05万元，支出决算为0万元，完成预算的0%，较预算增加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万元；较2022年度决算增加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年度公务用车购置及运行维护费预算为0万元，支出决算 0万元。其中：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年度单位公务用车保有量0辆，发生运行维护费支出0万元。</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年度公务接待费支出预算为0.05万元，支出决算0万元，完成预算的0%。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年度机关运行经费支出0万元，较2022年度增加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万元。主要原因是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年12月31日，0，比上年增加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kern w:val="2"/>
          <w:sz w:val="32"/>
          <w:szCs w:val="32"/>
          <w:lang w:eastAsia="zh-CN"/>
        </w:rPr>
        <w:t>单位为</w:t>
      </w:r>
      <w:r>
        <w:rPr>
          <w:rFonts w:hint="eastAsia" w:ascii="Times New Roman" w:hAnsi="Times New Roman" w:eastAsia="仿宋_GB2312" w:cs="Times New Roman"/>
          <w:kern w:val="2"/>
          <w:sz w:val="32"/>
          <w:szCs w:val="32"/>
          <w:lang w:val="en-US" w:eastAsia="zh-CN"/>
        </w:rPr>
        <w:t>2023年新成立单位，无固定资产</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预算绩效情况说明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无</w:t>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仿宋_GB2312" w:cs="Times New Roman"/>
          <w:sz w:val="32"/>
          <w:szCs w:val="32"/>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line="560" w:lineRule="exact"/>
        <w:ind w:firstLine="640" w:firstLineChars="200"/>
        <w:rPr>
          <w:rFonts w:hint="default" w:ascii="Times New Roman" w:hAnsi="Times New Roman" w:eastAsia="仿宋_GB2312" w:cs="Times New Roman"/>
          <w:color w:val="000000"/>
          <w:kern w:val="0"/>
          <w:sz w:val="32"/>
          <w:szCs w:val="32"/>
        </w:rPr>
      </w:pP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97407E0-911C-4EB3-A8C9-F3AF2CFBBA25}"/>
  </w:font>
  <w:font w:name="黑体">
    <w:panose1 w:val="02010609060101010101"/>
    <w:charset w:val="86"/>
    <w:family w:val="auto"/>
    <w:pitch w:val="default"/>
    <w:sig w:usb0="800002BF" w:usb1="38CF7CFA" w:usb2="00000016" w:usb3="00000000" w:csb0="00040001" w:csb1="00000000"/>
    <w:embedRegular r:id="rId2" w:fontKey="{5C169242-284F-4CF7-A0F7-944901CA012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7BD66A3-DE4F-4A07-A7D3-0EB77AB49CAD}"/>
  </w:font>
  <w:font w:name="仿宋">
    <w:panose1 w:val="02010609060101010101"/>
    <w:charset w:val="86"/>
    <w:family w:val="modern"/>
    <w:pitch w:val="default"/>
    <w:sig w:usb0="800002BF" w:usb1="38CF7CFA" w:usb2="00000016" w:usb3="00000000" w:csb0="00040001" w:csb1="00000000"/>
    <w:embedRegular r:id="rId4" w:fontKey="{EC7F0E2C-9998-4E49-B2A6-A2202852409A}"/>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仿宋_GBK">
    <w:altName w:val="微软雅黑"/>
    <w:panose1 w:val="03000509000000000000"/>
    <w:charset w:val="86"/>
    <w:family w:val="roma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魏碑简体">
    <w:altName w:val="微软雅黑"/>
    <w:panose1 w:val="00000000000000000000"/>
    <w:charset w:val="86"/>
    <w:family w:val="auto"/>
    <w:pitch w:val="default"/>
    <w:sig w:usb0="00000000" w:usb1="00000000" w:usb2="00000010" w:usb3="00000000" w:csb0="00040000" w:csb1="00000000"/>
    <w:embedRegular r:id="rId5" w:fontKey="{F0E18FB1-8A65-438F-B26F-9D0242A29F64}"/>
  </w:font>
  <w:font w:name="思源黑体 CN Heavy">
    <w:altName w:val="黑体"/>
    <w:panose1 w:val="00000000000000000000"/>
    <w:charset w:val="86"/>
    <w:family w:val="swiss"/>
    <w:pitch w:val="default"/>
    <w:sig w:usb0="00000000" w:usb1="00000000" w:usb2="00000016" w:usb3="00000000" w:csb0="00060107" w:csb1="00000000"/>
    <w:embedRegular r:id="rId6" w:fontKey="{7459CFDF-7812-491B-8BDE-62F3FB71C2E0}"/>
  </w:font>
  <w:font w:name="楷体_GB2312">
    <w:panose1 w:val="02010609030101010101"/>
    <w:charset w:val="86"/>
    <w:family w:val="auto"/>
    <w:pitch w:val="default"/>
    <w:sig w:usb0="00000001" w:usb1="080E0000" w:usb2="00000000" w:usb3="00000000" w:csb0="00040000" w:csb1="00000000"/>
    <w:embedRegular r:id="rId7" w:fontKey="{918E130C-1AEE-4ACD-A249-13BF8B29676B}"/>
  </w:font>
  <w:font w:name="仿宋_GB2312">
    <w:panose1 w:val="02010609030101010101"/>
    <w:charset w:val="86"/>
    <w:family w:val="auto"/>
    <w:pitch w:val="default"/>
    <w:sig w:usb0="00000001" w:usb1="080E0000" w:usb2="00000000" w:usb3="00000000" w:csb0="00040000" w:csb1="00000000"/>
    <w:embedRegular r:id="rId8" w:fontKey="{F1B1BE6A-A507-4DBF-85CD-7F0EDC18C1D1}"/>
  </w:font>
  <w:font w:name="ArialUnicodeMS">
    <w:altName w:val="Malgun Gothic"/>
    <w:panose1 w:val="00000000000000000000"/>
    <w:charset w:val="81"/>
    <w:family w:val="auto"/>
    <w:pitch w:val="default"/>
    <w:sig w:usb0="00000000" w:usb1="00000000" w:usb2="00000010" w:usb3="00000000" w:csb0="00080001" w:csb1="00000000"/>
    <w:embedRegular r:id="rId9" w:fontKey="{85C07FB6-2293-4193-9BD9-DB0DA0E6F0DC}"/>
  </w:font>
  <w:font w:name="Malgun Gothic">
    <w:panose1 w:val="020B0503020000020004"/>
    <w:charset w:val="81"/>
    <w:family w:val="auto"/>
    <w:pitch w:val="default"/>
    <w:sig w:usb0="900002AF" w:usb1="01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10" w:fontKey="{966DD44F-162C-4AAA-A906-73AB61C5FA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79246"/>
    <w:multiLevelType w:val="singleLevel"/>
    <w:tmpl w:val="BCF79246"/>
    <w:lvl w:ilvl="0" w:tentative="0">
      <w:start w:val="9"/>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6AA71CFF"/>
    <w:multiLevelType w:val="singleLevel"/>
    <w:tmpl w:val="6AA71CFF"/>
    <w:lvl w:ilvl="0" w:tentative="0">
      <w:start w:val="2"/>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MsImhkaWQiOiJhNTNkYWYzYTFlMzM0MGIzNTg2NTQ1ZTJiOGE1ZGM0NyIsInVzZXJDb3VudCI6NH0="/>
  </w:docVars>
  <w:rsids>
    <w:rsidRoot w:val="00000000"/>
    <w:rsid w:val="00086151"/>
    <w:rsid w:val="00236F8C"/>
    <w:rsid w:val="00822154"/>
    <w:rsid w:val="00C65689"/>
    <w:rsid w:val="00CC2C8E"/>
    <w:rsid w:val="01A03C5A"/>
    <w:rsid w:val="01A5267D"/>
    <w:rsid w:val="01AF6A8D"/>
    <w:rsid w:val="01FD379F"/>
    <w:rsid w:val="024808A2"/>
    <w:rsid w:val="025C3821"/>
    <w:rsid w:val="02DA3B1B"/>
    <w:rsid w:val="02E57B4D"/>
    <w:rsid w:val="03450B90"/>
    <w:rsid w:val="037B12D4"/>
    <w:rsid w:val="03804D63"/>
    <w:rsid w:val="03FB73B0"/>
    <w:rsid w:val="04712084"/>
    <w:rsid w:val="049C1B9D"/>
    <w:rsid w:val="04BD008C"/>
    <w:rsid w:val="04C55939"/>
    <w:rsid w:val="04DA28BB"/>
    <w:rsid w:val="04F528BE"/>
    <w:rsid w:val="050E10CE"/>
    <w:rsid w:val="054F2DFB"/>
    <w:rsid w:val="05991C82"/>
    <w:rsid w:val="061416A9"/>
    <w:rsid w:val="061D60A6"/>
    <w:rsid w:val="06236884"/>
    <w:rsid w:val="06B07006"/>
    <w:rsid w:val="06FC7C2A"/>
    <w:rsid w:val="07533AFE"/>
    <w:rsid w:val="07A01DB0"/>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793DE4"/>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E62D8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8605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371572"/>
    <w:rsid w:val="2356249E"/>
    <w:rsid w:val="236E713A"/>
    <w:rsid w:val="23700968"/>
    <w:rsid w:val="238761A6"/>
    <w:rsid w:val="23920578"/>
    <w:rsid w:val="23BB6F9A"/>
    <w:rsid w:val="23FC3864"/>
    <w:rsid w:val="24857B00"/>
    <w:rsid w:val="24BF74BD"/>
    <w:rsid w:val="24F25212"/>
    <w:rsid w:val="251B0465"/>
    <w:rsid w:val="254B0AC6"/>
    <w:rsid w:val="25571AB6"/>
    <w:rsid w:val="25B40AD6"/>
    <w:rsid w:val="25BE7872"/>
    <w:rsid w:val="25BF702A"/>
    <w:rsid w:val="264D2D17"/>
    <w:rsid w:val="26D50E55"/>
    <w:rsid w:val="271A539C"/>
    <w:rsid w:val="274972D4"/>
    <w:rsid w:val="27AA3D97"/>
    <w:rsid w:val="280A3758"/>
    <w:rsid w:val="28791D4C"/>
    <w:rsid w:val="289057C5"/>
    <w:rsid w:val="28966272"/>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1F02F9"/>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07618C"/>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695D2E"/>
    <w:rsid w:val="58721734"/>
    <w:rsid w:val="58900246"/>
    <w:rsid w:val="58977358"/>
    <w:rsid w:val="58D53944"/>
    <w:rsid w:val="58D65478"/>
    <w:rsid w:val="58F52487"/>
    <w:rsid w:val="590422E6"/>
    <w:rsid w:val="591E1CF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7A4A42"/>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单位职责文件"/>
    <w:basedOn w:val="1"/>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30</Pages>
  <Words>7510</Words>
  <Characters>9185</Characters>
  <Lines>86</Lines>
  <Paragraphs>24</Paragraphs>
  <TotalTime>112</TotalTime>
  <ScaleCrop>false</ScaleCrop>
  <LinksUpToDate>false</LinksUpToDate>
  <CharactersWithSpaces>9778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2024-09-27T06:15:00Z</cp:lastPrinted>
  <dcterms:modified xsi:type="dcterms:W3CDTF">2024-09-27T08:44:59Z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5B3F5E5E380A4AE0A6C468F3FE39DFD8</vt:lpwstr>
  </property>
  <property fmtid="{D5CDD505-2E9C-101B-9397-08002B2CF9AE}" pid="4" name="KSOTemplateUUID">
    <vt:lpwstr>v1.0_mb_S7ajbG3IpAnL1wSthNCxfw==</vt:lpwstr>
  </property>
</Properties>
</file>