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Default ContentType="image/bmp" Extension="bmp"/>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ectPr>
          <w:headerReference r:id="rId4" w:type="default"/>
          <w:pgSz w:w="11906" w:h="16838"/>
          <w:pgMar w:top="0" w:right="0" w:bottom="0" w:left="0" w:header="851" w:footer="992" w:gutter="0"/>
          <w:cols w:space="720" w:num="1"/>
          <w:titlePg/>
          <w:docGrid w:type="lines" w:linePitch="312"/>
        </w:sectPr>
      </w:pPr>
      <w:r>
        <w:rPr>
          <w:rFonts w:ascii="等线" w:hAnsi="等线" w:eastAsia="等线" w:cs="黑体"/>
          <w:kern w:val="2"/>
          <w:sz w:val="21"/>
          <w:szCs w:val="22"/>
          <w:lang w:val="en-US" w:eastAsia="zh-CN" w:bidi="ar-SA"/>
        </w:rPr>
        <w:pict>
          <v:rect id="文本框 10" o:spid="_x0000_s1031" style="position:absolute;left:0;margin-left:106.25pt;margin-top:693.55pt;height:79.95pt;width:404.15pt;rotation:0f;z-index:251664384;"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jc w:val="center"/>
                    <w:rPr>
                      <w:rFonts w:hint="eastAsia" w:ascii="楷体_GB2312" w:hAnsi="楷体_GB2312" w:eastAsia="楷体_GB2312" w:cs="楷体_GB2312"/>
                      <w:color w:val="000000"/>
                      <w:kern w:val="0"/>
                      <w:sz w:val="44"/>
                      <w:szCs w:val="44"/>
                      <w:lang w:val="en-US" w:eastAsia="zh-CN"/>
                    </w:rPr>
                  </w:pPr>
                  <w:r>
                    <w:rPr>
                      <w:rFonts w:hint="eastAsia" w:ascii="楷体_GB2312" w:hAnsi="楷体_GB2312" w:eastAsia="楷体_GB2312" w:cs="楷体_GB2312"/>
                      <w:color w:val="000000"/>
                      <w:kern w:val="0"/>
                      <w:sz w:val="44"/>
                      <w:szCs w:val="44"/>
                      <w:lang w:val="en-US" w:eastAsia="zh-CN"/>
                    </w:rPr>
                    <w:t>二〇二〇年八月</w:t>
                  </w:r>
                </w:p>
              </w:txbxContent>
            </v:textbox>
          </v:rect>
        </w:pict>
      </w:r>
      <w:r>
        <w:rPr>
          <w:rFonts w:ascii="等线" w:hAnsi="等线" w:eastAsia="等线" w:cs="黑体"/>
          <w:kern w:val="2"/>
          <w:sz w:val="21"/>
          <w:szCs w:val="22"/>
          <w:lang w:val="en-US" w:eastAsia="zh-CN" w:bidi="ar-SA"/>
        </w:rPr>
        <w:pict>
          <v:shape id="椭圆 8" o:spid="_x0000_s1028" type="#_x0000_t3" style="position:absolute;left:0;margin-left:53.5pt;margin-top:232.45pt;height:121.95pt;width:121.95pt;rotation:0f;z-index:251661312;" o:ole="f" fillcolor="#FFFFFF" filled="t" o:preferrelative="t" stroked="f" coordorigin="0,0" coordsize="21600,21600">
            <v:imagedata gain="65536f" blacklevel="0f" gamma="0"/>
            <o:lock v:ext="edit" position="f" selection="f" grouping="f" rotation="f" cropping="f" text="f" aspectratio="f"/>
          </v:shape>
        </w:pict>
      </w:r>
      <w:r>
        <w:rPr>
          <w:rFonts w:ascii="等线" w:hAnsi="等线" w:eastAsia="等线" w:cs="黑体"/>
          <w:kern w:val="2"/>
          <w:sz w:val="21"/>
          <w:szCs w:val="22"/>
          <w:lang w:val="en-US" w:eastAsia="zh-CN" w:bidi="ar-SA"/>
        </w:rPr>
        <w:pict>
          <v:rect id="矩形 14" o:spid="_x0000_s1033" style="position:absolute;left:0;margin-left:33.6pt;margin-top:256.75pt;height:69.6pt;width:160.65pt;rotation:0f;z-index:251666432;"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spacing w:line="360" w:lineRule="auto"/>
                    <w:jc w:val="center"/>
                    <w:rPr>
                      <w:rFonts w:hint="default" w:eastAsia="等线"/>
                      <w:kern w:val="0"/>
                      <w:sz w:val="28"/>
                      <w:szCs w:val="28"/>
                      <w:lang w:val="en-US" w:eastAsia="zh-CN"/>
                    </w:rPr>
                  </w:pPr>
                  <w:r>
                    <w:rPr>
                      <w:rFonts w:hint="eastAsia" w:ascii="Yu Gothic UI Semibold" w:hAnsi="Yu Gothic UI Semibold" w:eastAsia="宋体"/>
                      <w:color w:val="FFFFFF"/>
                      <w:kern w:val="24"/>
                      <w:sz w:val="72"/>
                      <w:szCs w:val="72"/>
                      <w:lang w:val="en-US" w:eastAsia="zh-CN"/>
                    </w:rPr>
                    <w:t>2019</w:t>
                  </w:r>
                </w:p>
              </w:txbxContent>
            </v:textbox>
          </v:rect>
        </w:pict>
      </w:r>
      <w:r>
        <w:rPr>
          <w:rFonts w:ascii="等线" w:hAnsi="等线" w:eastAsia="等线" w:cs="黑体"/>
          <w:kern w:val="2"/>
          <w:sz w:val="21"/>
          <w:szCs w:val="22"/>
          <w:lang w:val="en-US" w:eastAsia="zh-CN" w:bidi="ar-SA"/>
        </w:rPr>
        <w:pict>
          <v:shape id="椭圆 9" o:spid="_x0000_s1032" type="#_x0000_t3" style="position:absolute;left:0;margin-left:62.2pt;margin-top:242.75pt;height:103.45pt;width:103.45pt;rotation:0f;z-index:251665408;" o:ole="f" fillcolor="#1F2959" filled="t" o:preferrelative="t" stroked="f" coordorigin="0,0" coordsize="21600,21600">
            <v:imagedata gain="65536f" blacklevel="0f" gamma="0"/>
            <o:lock v:ext="edit" position="f" selection="f" grouping="f" rotation="f" cropping="f" text="f" aspectratio="f"/>
          </v:shape>
        </w:pict>
      </w:r>
      <w:r>
        <w:rPr>
          <w:rFonts w:ascii="等线" w:hAnsi="等线" w:eastAsia="等线" w:cs="黑体"/>
          <w:kern w:val="2"/>
          <w:sz w:val="21"/>
          <w:szCs w:val="22"/>
          <w:lang w:val="en-US" w:eastAsia="zh-CN" w:bidi="ar-SA"/>
        </w:rPr>
        <w:pict>
          <v:group id="组合 1036" o:spid="_x0000_s1029" style="position:absolute;left:0;margin-left:1.25pt;margin-top:821.7pt;height:21.45pt;width:595.25pt;rotation:0f;z-index:251662336;" coordorigin="1483,16692" coordsize="11905,429">
            <o:lock v:ext="edit" position="f" selection="f" grouping="f" rotation="f" cropping="f" text="f" aspectratio="f"/>
            <v:rect id="矩形 1037" o:spid="_x0000_s1087" style="position:absolute;left:1483;top:16692;height:428;width:1125;rotation:0f;" o:ole="f" fillcolor="#FDBC11" filled="t" o:preferrelative="t" stroked="f" coordsize="21600,21600">
              <v:imagedata gain="65536f" blacklevel="0f" gamma="0"/>
              <o:lock v:ext="edit" position="f" selection="f" grouping="f" rotation="f" cropping="f" text="f" aspectratio="f"/>
            </v:rect>
            <v:rect id="矩形 1038" o:spid="_x0000_s1088" style="position:absolute;left:2608;top:16693;height:428;width:10780;rotation:0f;" o:ole="f" fillcolor="#1F2959" filled="t" o:preferrelative="t" stroked="f" coordsize="21600,21600">
              <v:imagedata gain="65536f" blacklevel="0f" gamma="0"/>
              <o:lock v:ext="edit" position="f" selection="f" grouping="f" rotation="f" cropping="f" text="f" aspectratio="f"/>
            </v:rect>
          </v:group>
        </w:pict>
      </w:r>
      <w:r>
        <w:rPr>
          <w:rFonts w:ascii="等线" w:hAnsi="等线" w:eastAsia="等线" w:cs="黑体"/>
          <w:kern w:val="2"/>
          <w:sz w:val="21"/>
          <w:szCs w:val="22"/>
          <w:lang w:val="en-US" w:eastAsia="zh-CN" w:bidi="ar-SA"/>
        </w:rPr>
        <w:pict>
          <v:group id="组合 1039" o:spid="_x0000_s1025" style="position:absolute;left:0;margin-left:-2.4pt;margin-top:0pt;height:322.1pt;width:600.25pt;rotation:0f;z-index:-251658240;" coordorigin="13622,283" coordsize="12005,6442">
            <o:lock v:ext="edit" position="f" selection="f" grouping="f" rotation="f" cropping="f" text="f" aspectratio="f"/>
            <v:rect id="矩形 1040" o:spid="_x0000_s1089" style="position:absolute;left:13622;top:283;height:6170;width:12005;rotation:0f;" o:ole="f" fillcolor="#FDBC11" filled="t" o:preferrelative="t" stroked="f" coordsize="21600,21600">
              <v:imagedata gain="65536f" blacklevel="0f" gamma="0"/>
              <o:lock v:ext="edit" position="f" selection="f" grouping="f" rotation="f" cropping="f" text="f" aspectratio="f"/>
            </v:rect>
            <v:rect id="矩形 1041" o:spid="_x0000_s1090" style="position:absolute;left:17229;top:5021;height:1704;width:8083;rotation:0f;"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jc w:val="left"/>
                      <w:rPr>
                        <w:rFonts w:hint="default" w:eastAsia="等线"/>
                        <w:color w:val="000000"/>
                        <w:kern w:val="0"/>
                        <w:sz w:val="92"/>
                        <w:szCs w:val="92"/>
                        <w:lang w:val="en-US" w:eastAsia="zh-CN"/>
                      </w:rPr>
                    </w:pPr>
                    <w:r>
                      <w:rPr>
                        <w:rFonts w:hint="eastAsia" w:ascii="思源黑体 HW Bold" w:hAnsi="思源黑体 HW Bold" w:eastAsia="思源黑体 HW Bold"/>
                        <w:color w:val="000000"/>
                        <w:kern w:val="24"/>
                        <w:sz w:val="92"/>
                        <w:szCs w:val="92"/>
                        <w:lang w:val="en-US" w:eastAsia="zh-CN"/>
                      </w:rPr>
                      <w:t>部门决算公开文本</w:t>
                    </w:r>
                  </w:p>
                </w:txbxContent>
              </v:textbox>
            </v:rect>
          </v:group>
        </w:pict>
      </w:r>
      <w:r>
        <w:rPr>
          <w:rFonts w:ascii="等线" w:hAnsi="等线" w:eastAsia="等线" w:cs="黑体"/>
          <w:kern w:val="2"/>
          <w:sz w:val="21"/>
          <w:szCs w:val="22"/>
          <w:lang w:val="en-US" w:eastAsia="zh-CN" w:bidi="ar-SA"/>
        </w:rPr>
        <w:pict>
          <v:rect id="矩形 11" o:spid="_x0000_s1030" style="position:absolute;left:0;margin-left:184.75pt;margin-top:286.6pt;height:31.25pt;width:339.65pt;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txbxContent>
            </v:textbox>
          </v:rect>
        </w:pic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eastAsia" w:ascii="黑体" w:hAnsi="Times New Roman" w:eastAsia="黑体" w:cs="Times New Roman"/>
          <w:sz w:val="48"/>
          <w:szCs w:val="48"/>
        </w:rPr>
      </w:pPr>
      <w:r>
        <w:rPr>
          <w:rFonts w:hint="eastAsia" w:ascii="黑体" w:hAnsi="Times New Roman" w:eastAsia="黑体" w:cs="Times New Roman"/>
          <w:sz w:val="96"/>
          <w:szCs w:val="96"/>
          <w:lang w:eastAsia="zh-CN"/>
        </w:rPr>
        <w:t>唐山市统计局</w:t>
      </w: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widowControl w:val="0"/>
        <w:wordWrap/>
        <w:adjustRightInd/>
        <w:snapToGrid/>
        <w:spacing w:line="36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48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480" w:lineRule="auto"/>
        <w:jc w:val="center"/>
        <w:textAlignment w:val="auto"/>
        <w:rPr>
          <w:rFonts w:hint="eastAsia" w:ascii="黑体" w:hAnsi="黑体" w:eastAsia="黑体" w:cs="黑体"/>
          <w:sz w:val="56"/>
          <w:szCs w:val="72"/>
          <w:lang w:val="en-US" w:eastAsia="zh-CN"/>
        </w:rPr>
      </w:pPr>
    </w:p>
    <w:p>
      <w:pPr>
        <w:widowControl w:val="0"/>
        <w:wordWrap/>
        <w:adjustRightInd/>
        <w:snapToGrid/>
        <w:spacing w:line="480" w:lineRule="auto"/>
        <w:jc w:val="center"/>
        <w:textAlignment w:val="auto"/>
        <w:rPr>
          <w:rFonts w:hint="eastAsia" w:ascii="黑体" w:hAnsi="黑体" w:eastAsia="黑体" w:cs="黑体"/>
          <w:sz w:val="56"/>
          <w:szCs w:val="72"/>
          <w:lang w:val="en-US" w:eastAsia="zh-CN"/>
        </w:rPr>
      </w:pPr>
    </w:p>
    <w:p>
      <w:pPr>
        <w:widowControl w:val="0"/>
        <w:wordWrap/>
        <w:adjustRightInd/>
        <w:snapToGrid w:val="0"/>
        <w:spacing w:line="480" w:lineRule="auto"/>
        <w:jc w:val="center"/>
        <w:textAlignment w:val="auto"/>
        <w:rPr>
          <w:rFonts w:hint="eastAsia" w:ascii="黑体" w:hAnsi="黑体" w:eastAsia="黑体" w:cs="黑体"/>
          <w:sz w:val="56"/>
          <w:szCs w:val="72"/>
          <w:lang w:val="en-US" w:eastAsia="zh-CN"/>
        </w:rPr>
      </w:pPr>
    </w:p>
    <w:p>
      <w:pPr>
        <w:widowControl w:val="0"/>
        <w:wordWrap/>
        <w:adjustRightInd/>
        <w:snapToGrid w:val="0"/>
        <w:jc w:val="center"/>
        <w:textAlignment w:val="auto"/>
        <w:sectPr>
          <w:headerReference r:id="rId6" w:type="first"/>
          <w:footerReference r:id="rId7" w:type="first"/>
          <w:headerReference r:id="rId5" w:type="default"/>
          <w:type w:val="continuous"/>
          <w:pgSz w:w="11906" w:h="16838"/>
          <w:pgMar w:top="2041" w:right="1531" w:bottom="2041" w:left="1531" w:header="851" w:footer="992" w:gutter="0"/>
          <w:cols w:space="720" w:num="1"/>
          <w:titlePg/>
          <w:rtlGutter w:val="0"/>
          <w:docGrid w:type="lines" w:linePitch="312"/>
        </w:sectPr>
      </w:pPr>
      <w:r>
        <w:rPr>
          <w:rFonts w:hint="eastAsia" w:ascii="楷体_GB2312" w:hAnsi="楷体_GB2312" w:eastAsia="楷体_GB2312" w:cs="楷体_GB2312"/>
          <w:color w:val="000000"/>
          <w:kern w:val="0"/>
          <w:sz w:val="44"/>
          <w:szCs w:val="44"/>
          <w:highlight w:val="none"/>
          <w:lang w:val="en-US" w:eastAsia="zh-CN"/>
        </w:rPr>
        <w:t>唐山市统计局</w:t>
      </w:r>
    </w:p>
    <w:p>
      <w:pPr>
        <w:widowControl/>
        <w:wordWrap/>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tabs>
          <w:tab w:val="left" w:pos="2728"/>
        </w:tabs>
        <w:jc w:val="center"/>
        <w:rPr>
          <w:rFonts w:ascii="黑体" w:hAnsi="Times New Roman" w:eastAsia="黑体" w:cs="Times New Roman"/>
          <w:sz w:val="48"/>
          <w:szCs w:val="48"/>
        </w:rPr>
      </w:pPr>
      <w:bookmarkStart w:id="0" w:name="_GoBack"/>
      <w:bookmarkEnd w:id="0"/>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rFonts w:ascii="等线" w:hAnsi="等线" w:eastAsia="等线" w:cs="黑体"/>
          <w:kern w:val="2"/>
          <w:sz w:val="72"/>
          <w:szCs w:val="22"/>
          <w:lang w:val="en-US" w:eastAsia="zh-CN" w:bidi="ar-SA"/>
        </w:rPr>
        <w:pict>
          <v:rect id="文本框 143" o:spid="_x0000_s1034" style="position:absolute;left:0;margin-left:-85.6pt;margin-top:80.7pt;height:263.1pt;width:613.65pt;rotation:0f;z-index:251667456;" o:ole="f" fillcolor="#FFD966" filled="t" o:preferrelative="t" stroked="t" coordsize="21600,21600">
            <v:fill type="pattern" on="t" color2="#FFFFFF" o:opacity2="100%" o:title="" focus="0%" r:id="rId22"/>
            <v:stroke weight="1pt" color="#FFD966" color2="#FFFFFF" opacity="100%" miterlimit="2"/>
            <v:imagedata gain="65536f" blacklevel="0f" gamma="0"/>
            <o:lock v:ext="edit" position="f" selection="f" grouping="f" rotation="f" cropping="f" text="f" aspectratio="f"/>
            <v:textbox>
              <w:txbxContent>
                <w:p>
                  <w:pPr>
                    <w:widowControl/>
                    <w:jc w:val="center"/>
                    <w:rPr>
                      <w:rFonts w:hint="eastAsia" w:ascii="黑体" w:hAnsi="黑体" w:eastAsia="黑体" w:cs="黑体"/>
                      <w:color w:val="000000"/>
                      <w:sz w:val="96"/>
                      <w:szCs w:val="96"/>
                      <w:lang w:val="en-US"/>
                    </w:rPr>
                  </w:pPr>
                  <w:r>
                    <w:rPr>
                      <w:rFonts w:hint="eastAsia" w:ascii="黑体" w:hAnsi="黑体" w:eastAsia="黑体" w:cs="黑体"/>
                      <w:color w:val="000000"/>
                      <w:sz w:val="96"/>
                      <w:szCs w:val="96"/>
                      <w:lang w:val="en-US" w:eastAsia="zh-CN"/>
                    </w:rPr>
                    <w:t>第一部分  部门概况</w:t>
                  </w:r>
                </w:p>
              </w:txbxContent>
            </v:textbox>
          </v:rect>
        </w:pict>
      </w:r>
      <w:r>
        <w:br w:type="page"/>
      </w:r>
    </w:p>
    <w:p>
      <w:pPr>
        <w:pStyle w:val="2"/>
        <w:keepNext/>
        <w:keepLines/>
        <w:widowControl w:val="0"/>
        <w:wordWrap/>
        <w:adjustRightInd/>
        <w:snapToGrid/>
        <w:spacing w:before="0" w:after="0" w:line="580" w:lineRule="exact"/>
        <w:ind w:firstLine="640" w:firstLineChars="200"/>
        <w:jc w:val="left"/>
        <w:textAlignment w:val="auto"/>
        <w:rPr>
          <w:rFonts w:ascii="黑体" w:hAnsi="等线" w:eastAsia="黑体" w:cs="黑体"/>
          <w:b w:val="0"/>
          <w:bCs w:val="0"/>
          <w:kern w:val="0"/>
          <w:sz w:val="32"/>
          <w:szCs w:val="32"/>
        </w:rPr>
      </w:pPr>
      <w:r>
        <w:rPr>
          <w:rFonts w:hint="eastAsia" w:ascii="黑体" w:hAnsi="等线" w:eastAsia="黑体" w:cs="黑体"/>
          <w:b w:val="0"/>
          <w:bCs w:val="0"/>
          <w:kern w:val="0"/>
          <w:sz w:val="32"/>
          <w:szCs w:val="32"/>
        </w:rPr>
        <w:t>一、部门职责</w:t>
      </w:r>
    </w:p>
    <w:p>
      <w:pPr>
        <w:spacing w:line="360" w:lineRule="auto"/>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（一）组织领导和协调全市统计工作，确保统计数据真实、准确、完整、及时。</w:t>
      </w:r>
    </w:p>
    <w:p>
      <w:pPr>
        <w:pStyle w:val="9"/>
        <w:spacing w:line="360" w:lineRule="auto"/>
        <w:ind w:firstLine="640" w:firstLineChars="200"/>
        <w:rPr>
          <w:rFonts w:ascii="仿宋_GB2312" w:eastAsia="仿宋_GB2312"/>
          <w:sz w:val="32"/>
        </w:rPr>
      </w:pPr>
      <w:r>
        <w:rPr>
          <w:rFonts w:hint="eastAsia" w:ascii="仿宋_GB2312" w:eastAsia="仿宋_GB2312"/>
          <w:sz w:val="32"/>
        </w:rP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pStyle w:val="9"/>
        <w:spacing w:line="600" w:lineRule="exact"/>
        <w:ind w:firstLine="640" w:firstLineChars="200"/>
        <w:rPr>
          <w:rFonts w:ascii="仿宋_GB2312" w:eastAsia="仿宋_GB2312"/>
          <w:sz w:val="32"/>
        </w:rPr>
      </w:pPr>
      <w:r>
        <w:rPr>
          <w:rFonts w:hint="eastAsia" w:ascii="仿宋_GB2312" w:eastAsia="仿宋_GB2312"/>
          <w:sz w:val="32"/>
        </w:rPr>
        <w:t>(三)贯彻执行国家 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pStyle w:val="9"/>
        <w:spacing w:line="600" w:lineRule="exact"/>
        <w:ind w:firstLine="640" w:firstLineChars="200"/>
        <w:rPr>
          <w:rFonts w:ascii="仿宋_GB2312" w:eastAsia="仿宋_GB2312"/>
          <w:sz w:val="32"/>
        </w:rPr>
      </w:pPr>
      <w:r>
        <w:rPr>
          <w:rFonts w:hint="eastAsia" w:ascii="仿宋_GB2312" w:eastAsia="仿宋_GB2312"/>
          <w:sz w:val="32"/>
        </w:rPr>
        <w:t>(四)拟订重大市情市力普查和抽样调查计划、方案，组织实施全市人口、经济、农业等重大普查调查，汇总、整理和提供有关市情市力方面的统计数据。</w:t>
      </w:r>
    </w:p>
    <w:p>
      <w:pPr>
        <w:pStyle w:val="9"/>
        <w:spacing w:line="600" w:lineRule="exact"/>
        <w:ind w:firstLine="640" w:firstLineChars="200"/>
        <w:rPr>
          <w:rFonts w:ascii="仿宋_GB2312" w:eastAsia="仿宋_GB2312"/>
          <w:sz w:val="32"/>
        </w:rPr>
      </w:pPr>
      <w:r>
        <w:rPr>
          <w:rFonts w:hint="eastAsia" w:ascii="仿宋_GB2312" w:eastAsia="仿宋_GB2312"/>
          <w:sz w:val="32"/>
        </w:rPr>
        <w:t>(五)组织实施全市</w:t>
      </w:r>
      <w:r>
        <w:rPr>
          <w:rFonts w:ascii="仿宋_GB2312" w:eastAsia="仿宋_GB2312"/>
          <w:sz w:val="32"/>
        </w:rPr>
        <w:t>农</w:t>
      </w:r>
      <w:r>
        <w:rPr>
          <w:rFonts w:hint="eastAsia" w:ascii="仿宋_GB2312" w:eastAsia="仿宋_GB2312"/>
          <w:sz w:val="32"/>
        </w:rPr>
        <w:t>林牧渔业、工业</w:t>
      </w:r>
      <w:r>
        <w:rPr>
          <w:rFonts w:hint="eastAsia" w:ascii="仿宋_GB2312" w:hAnsi="宋体" w:eastAsia="仿宋_GB2312" w:cs="宋体"/>
          <w:kern w:val="0"/>
          <w:sz w:val="32"/>
          <w:szCs w:val="32"/>
        </w:rPr>
        <w:t>、建筑业、批发和零售业、住宿和餐饮业、房地产、服务业及能源、投资、消费、人口和城镇化率、劳动工资、就业、社会、科技、文化产业、城市基本情况、县乡村三级社会经济基本情况、资源环境、</w:t>
      </w:r>
      <w:r>
        <w:rPr>
          <w:rFonts w:hint="eastAsia" w:ascii="仿宋_GB2312" w:eastAsia="仿宋_GB2312"/>
          <w:sz w:val="32"/>
          <w:szCs w:val="32"/>
        </w:rPr>
        <w:t>战略性新兴产业、高新技术产业、民营经济</w:t>
      </w:r>
      <w:r>
        <w:rPr>
          <w:rFonts w:hint="eastAsia" w:ascii="仿宋_GB2312" w:hAnsi="宋体" w:eastAsia="仿宋_GB2312" w:cs="宋体"/>
          <w:kern w:val="0"/>
          <w:sz w:val="32"/>
          <w:szCs w:val="32"/>
        </w:rPr>
        <w:t>等统计调查</w:t>
      </w:r>
      <w:r>
        <w:rPr>
          <w:rFonts w:hint="eastAsia" w:ascii="仿宋_GB2312" w:eastAsia="仿宋_GB2312"/>
          <w:sz w:val="32"/>
        </w:rPr>
        <w:t>，收集、汇总、整理和提供统计数据</w:t>
      </w:r>
      <w:r>
        <w:rPr>
          <w:rFonts w:hint="eastAsia" w:ascii="仿宋_GB2312" w:hAnsi="宋体" w:eastAsia="仿宋_GB2312" w:cs="宋体"/>
          <w:kern w:val="0"/>
          <w:sz w:val="32"/>
          <w:szCs w:val="32"/>
        </w:rPr>
        <w:t>。</w:t>
      </w:r>
    </w:p>
    <w:p>
      <w:pPr>
        <w:pStyle w:val="9"/>
        <w:spacing w:line="600" w:lineRule="exact"/>
        <w:ind w:firstLine="640" w:firstLineChars="200"/>
        <w:rPr>
          <w:rFonts w:ascii="仿宋_GB2312" w:eastAsia="仿宋_GB2312"/>
          <w:sz w:val="32"/>
        </w:rPr>
      </w:pPr>
      <w:r>
        <w:rPr>
          <w:rFonts w:hint="eastAsia" w:ascii="仿宋_GB2312" w:eastAsia="仿宋_GB2312"/>
          <w:sz w:val="32"/>
        </w:rPr>
        <w:t>（六）组织实施</w:t>
      </w:r>
      <w:r>
        <w:rPr>
          <w:rFonts w:hint="eastAsia" w:ascii="仿宋_GB2312" w:eastAsia="仿宋_GB2312"/>
          <w:sz w:val="32"/>
          <w:szCs w:val="32"/>
        </w:rPr>
        <w:t>县域经济发展、</w:t>
      </w:r>
      <w:r>
        <w:rPr>
          <w:rFonts w:hint="eastAsia" w:ascii="仿宋_GB2312" w:eastAsia="仿宋_GB2312"/>
          <w:sz w:val="32"/>
        </w:rPr>
        <w:t>农业产业化、特色小镇、节能降耗、绿色发展、企业景气、妇女儿童监测、新产业新业态新商业模式（以下简称新经济）、高质量发展、京津冀协同发展等统计监测，收集、整理和提供统计数据</w:t>
      </w:r>
      <w:r>
        <w:rPr>
          <w:rFonts w:hint="eastAsia" w:ascii="仿宋_GB2312" w:eastAsia="仿宋_GB2312"/>
          <w:sz w:val="32"/>
          <w:szCs w:val="32"/>
        </w:rPr>
        <w:t>。</w:t>
      </w:r>
    </w:p>
    <w:p>
      <w:pPr>
        <w:pStyle w:val="9"/>
        <w:spacing w:line="600" w:lineRule="exact"/>
        <w:ind w:firstLine="640" w:firstLineChars="200"/>
        <w:rPr>
          <w:rFonts w:ascii="仿宋_GB2312" w:eastAsia="仿宋_GB2312"/>
          <w:sz w:val="32"/>
        </w:rPr>
      </w:pPr>
      <w:r>
        <w:rPr>
          <w:rFonts w:hint="eastAsia" w:ascii="仿宋_GB2312" w:eastAsia="仿宋_GB2312"/>
          <w:sz w:val="32"/>
        </w:rPr>
        <w:t>（七）综合整理和提供</w:t>
      </w:r>
      <w:r>
        <w:rPr>
          <w:rFonts w:ascii="仿宋_GB2312" w:eastAsia="仿宋_GB2312"/>
          <w:sz w:val="32"/>
        </w:rPr>
        <w:t>财政、金融</w:t>
      </w:r>
      <w:r>
        <w:rPr>
          <w:rFonts w:hint="eastAsia" w:ascii="仿宋_GB2312" w:eastAsia="仿宋_GB2312"/>
          <w:sz w:val="32"/>
        </w:rPr>
        <w:t>、旅游、交通运输、邮政、地质勘查、教育、卫生、体育、社会保障、公用事业、对外经济、收入、价格等基本统计数据。</w:t>
      </w:r>
    </w:p>
    <w:p>
      <w:pPr>
        <w:pStyle w:val="9"/>
        <w:spacing w:line="600" w:lineRule="exact"/>
        <w:ind w:firstLine="640" w:firstLineChars="200"/>
        <w:rPr>
          <w:rFonts w:ascii="仿宋_GB2312" w:eastAsia="仿宋_GB2312"/>
          <w:sz w:val="32"/>
        </w:rPr>
      </w:pPr>
      <w:r>
        <w:rPr>
          <w:rFonts w:hint="eastAsia" w:ascii="仿宋_GB2312" w:eastAsia="仿宋_GB2312"/>
          <w:sz w:val="32"/>
        </w:rPr>
        <w:t>（八）组织各县（市、区）和各部门的经济、社会、科技、服务业统计调查，统一核定、管理、公布全市基本统计资料，定期发布全市国民经济和社会发展情况的统计信息，组织建立统计信息共享制度和发布制度。</w:t>
      </w:r>
    </w:p>
    <w:p>
      <w:pPr>
        <w:pStyle w:val="9"/>
        <w:spacing w:line="600" w:lineRule="exact"/>
        <w:ind w:firstLine="640" w:firstLineChars="200"/>
        <w:rPr>
          <w:rFonts w:ascii="仿宋_GB2312" w:eastAsia="仿宋_GB2312"/>
          <w:sz w:val="32"/>
        </w:rPr>
      </w:pPr>
      <w:r>
        <w:rPr>
          <w:rFonts w:hint="eastAsia" w:ascii="仿宋_GB2312" w:eastAsia="仿宋_GB2312"/>
          <w:sz w:val="32"/>
        </w:rPr>
        <w:t>（九）对国民经济、社会发展、科技进步和资源环境等情况进行统计分析、统计预测和统计监督，向市委、市政府及有关部门提供统计信息和咨询建议。</w:t>
      </w:r>
    </w:p>
    <w:p>
      <w:pPr>
        <w:pStyle w:val="9"/>
        <w:spacing w:line="600" w:lineRule="exact"/>
        <w:ind w:firstLine="640" w:firstLineChars="200"/>
        <w:rPr>
          <w:rFonts w:ascii="仿宋_GB2312" w:eastAsia="仿宋_GB2312"/>
          <w:sz w:val="32"/>
        </w:rPr>
      </w:pPr>
      <w:r>
        <w:rPr>
          <w:rFonts w:hint="eastAsia" w:ascii="仿宋_GB2312" w:eastAsia="仿宋_GB2312"/>
          <w:sz w:val="32"/>
        </w:rP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pStyle w:val="9"/>
        <w:spacing w:line="600" w:lineRule="exact"/>
        <w:ind w:firstLine="640" w:firstLineChars="200"/>
        <w:rPr>
          <w:rFonts w:ascii="仿宋_GB2312" w:eastAsia="仿宋_GB2312"/>
          <w:sz w:val="32"/>
        </w:rPr>
      </w:pPr>
      <w:r>
        <w:rPr>
          <w:rFonts w:hint="eastAsia" w:ascii="仿宋_GB2312" w:eastAsia="仿宋_GB2312"/>
          <w:sz w:val="32"/>
        </w:rPr>
        <w:t>（十一)建立并管理全市统计信息自动化系统和统计数据库系统；管理全市统计数据库网络；指导全市统计信息化系统建设。</w:t>
      </w:r>
    </w:p>
    <w:p>
      <w:pPr>
        <w:pStyle w:val="9"/>
        <w:spacing w:line="600" w:lineRule="exact"/>
        <w:ind w:firstLine="640" w:firstLineChars="200"/>
        <w:rPr>
          <w:rFonts w:ascii="仿宋_GB2312" w:eastAsia="仿宋_GB2312"/>
          <w:sz w:val="32"/>
        </w:rPr>
      </w:pPr>
      <w:r>
        <w:rPr>
          <w:rFonts w:hint="eastAsia" w:ascii="仿宋_GB2312" w:eastAsia="仿宋_GB2312"/>
          <w:sz w:val="32"/>
        </w:rPr>
        <w:t>（十二）协助管理各县（市、区）统计部门领导班子；指导全市统计系统专业技术队伍建设；指导直属单位名录库建设、全面建成小康社会统计监测、社情民意调查、资料管理等工作；会同有关部门组织全市统计专业技术资格考试，按规定承办统计系列职称评审工作，组织专业技术职务聘任工作。</w:t>
      </w:r>
    </w:p>
    <w:p>
      <w:pPr>
        <w:pStyle w:val="9"/>
        <w:spacing w:line="600" w:lineRule="exact"/>
        <w:ind w:firstLine="640" w:firstLineChars="200"/>
        <w:rPr>
          <w:rFonts w:ascii="仿宋_GB2312" w:eastAsia="仿宋_GB2312"/>
          <w:sz w:val="32"/>
        </w:rPr>
      </w:pPr>
      <w:r>
        <w:rPr>
          <w:rFonts w:hint="eastAsia" w:ascii="仿宋_GB2312" w:eastAsia="仿宋_GB2312"/>
          <w:sz w:val="32"/>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9"/>
        <w:spacing w:line="600" w:lineRule="exact"/>
        <w:ind w:firstLine="640" w:firstLineChars="200"/>
        <w:rPr>
          <w:rFonts w:ascii="仿宋_GB2312" w:eastAsia="仿宋_GB2312"/>
          <w:sz w:val="32"/>
        </w:rPr>
      </w:pPr>
      <w:r>
        <w:rPr>
          <w:rFonts w:hint="eastAsia" w:ascii="仿宋_GB2312" w:eastAsia="仿宋_GB2312"/>
          <w:sz w:val="32"/>
        </w:rPr>
        <w:t>（十四）完成市委、市政府和河北省统计局交办的其他工作任务。</w:t>
      </w:r>
    </w:p>
    <w:p>
      <w:pPr>
        <w:keepNext/>
        <w:keepLines/>
        <w:widowControl w:val="0"/>
        <w:wordWrap/>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wordWrap/>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个，</w:t>
      </w:r>
      <w:r>
        <w:rPr>
          <w:rFonts w:hint="eastAsia" w:ascii="仿宋_GB2312" w:hAnsi="Calibri" w:eastAsia="仿宋_GB2312" w:cs="ArialUnicodeMS"/>
          <w:kern w:val="0"/>
          <w:sz w:val="32"/>
          <w:szCs w:val="32"/>
          <w:lang w:val="en-US" w:eastAsia="zh-CN"/>
        </w:rPr>
        <w:t>具体情况如下：</w:t>
      </w:r>
    </w:p>
    <w:tbl>
      <w:tblPr>
        <w:tblpPr w:leftFromText="180" w:rightFromText="180" w:vertAnchor="text" w:horzAnchor="page" w:tblpXSpec="center" w:tblpY="10"/>
        <w:tblOverlap w:val="never"/>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726"/>
        <w:gridCol w:w="2075"/>
      </w:tblGrid>
      <w:tr>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lang w:val="en-US" w:eastAsia="zh-CN"/>
              </w:rPr>
            </w:pPr>
            <w:r>
              <w:rPr>
                <w:rFonts w:hint="eastAsia" w:ascii="仿宋_GB2312" w:hAnsi="Calibri" w:eastAsia="仿宋_GB2312" w:cs="ArialUnicodeMS"/>
                <w:b/>
                <w:bCs/>
                <w:kern w:val="0"/>
                <w:sz w:val="28"/>
                <w:szCs w:val="28"/>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lang w:val="en-US" w:eastAsia="zh-CN"/>
              </w:rPr>
            </w:pPr>
            <w:r>
              <w:rPr>
                <w:rFonts w:hint="eastAsia" w:ascii="仿宋_GB2312" w:hAnsi="Calibri" w:eastAsia="仿宋_GB2312" w:cs="ArialUnicodeMS"/>
                <w:b/>
                <w:bCs/>
                <w:kern w:val="0"/>
                <w:sz w:val="28"/>
                <w:szCs w:val="28"/>
                <w:lang w:val="en-US" w:eastAsia="zh-CN"/>
              </w:rPr>
              <w:t>单位名称</w:t>
            </w:r>
          </w:p>
        </w:tc>
        <w:tc>
          <w:tcPr>
            <w:tcW w:w="2726" w:type="dxa"/>
            <w:vAlign w:val="center"/>
          </w:tcPr>
          <w:p>
            <w:pPr>
              <w:spacing w:after="0" w:line="560" w:lineRule="exact"/>
              <w:jc w:val="center"/>
              <w:rPr>
                <w:rFonts w:hint="eastAsia" w:ascii="仿宋_GB2312" w:hAnsi="Calibri" w:eastAsia="仿宋_GB2312" w:cs="ArialUnicodeMS"/>
                <w:b/>
                <w:bCs/>
                <w:kern w:val="0"/>
                <w:sz w:val="28"/>
                <w:szCs w:val="28"/>
                <w:lang w:val="en-US" w:eastAsia="zh-CN"/>
              </w:rPr>
            </w:pPr>
            <w:r>
              <w:rPr>
                <w:rFonts w:hint="eastAsia" w:ascii="仿宋_GB2312" w:hAnsi="Calibri" w:eastAsia="仿宋_GB2312" w:cs="ArialUnicodeMS"/>
                <w:b/>
                <w:bCs/>
                <w:kern w:val="0"/>
                <w:sz w:val="28"/>
                <w:szCs w:val="28"/>
                <w:lang w:val="en-US" w:eastAsia="zh-CN"/>
              </w:rPr>
              <w:t>单位基本性质</w:t>
            </w:r>
          </w:p>
        </w:tc>
        <w:tc>
          <w:tcPr>
            <w:tcW w:w="2075" w:type="dxa"/>
            <w:vAlign w:val="center"/>
          </w:tcPr>
          <w:p>
            <w:pPr>
              <w:spacing w:after="0" w:line="560" w:lineRule="exact"/>
              <w:jc w:val="center"/>
              <w:rPr>
                <w:rFonts w:hint="eastAsia" w:ascii="仿宋_GB2312" w:hAnsi="Calibri" w:eastAsia="仿宋_GB2312" w:cs="ArialUnicodeMS"/>
                <w:b/>
                <w:bCs/>
                <w:kern w:val="0"/>
                <w:sz w:val="28"/>
                <w:szCs w:val="28"/>
                <w:lang w:val="en-US" w:eastAsia="zh-CN"/>
              </w:rPr>
            </w:pPr>
            <w:r>
              <w:rPr>
                <w:rFonts w:hint="eastAsia" w:ascii="仿宋_GB2312" w:hAnsi="Calibri" w:eastAsia="仿宋_GB2312" w:cs="ArialUnicodeMS"/>
                <w:b/>
                <w:bCs/>
                <w:kern w:val="0"/>
                <w:sz w:val="28"/>
                <w:szCs w:val="28"/>
                <w:lang w:val="en-US" w:eastAsia="zh-CN"/>
              </w:rPr>
              <w:t>经费形式</w:t>
            </w:r>
          </w:p>
        </w:tc>
      </w:tr>
      <w:tr>
        <w:trPr>
          <w:trHeight w:val="596" w:hRule="atLeast"/>
          <w:jc w:val="center"/>
        </w:trPr>
        <w:tc>
          <w:tcPr>
            <w:tcW w:w="985" w:type="dxa"/>
            <w:vAlign w:val="center"/>
          </w:tcPr>
          <w:p>
            <w:pPr>
              <w:spacing w:after="0"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1</w:t>
            </w:r>
          </w:p>
        </w:tc>
        <w:tc>
          <w:tcPr>
            <w:tcW w:w="3485" w:type="dxa"/>
            <w:textDirection w:val="lrTb"/>
            <w:vAlign w:val="top"/>
          </w:tcPr>
          <w:p>
            <w:pPr>
              <w:spacing w:after="0" w:line="560" w:lineRule="exact"/>
              <w:jc w:val="left"/>
              <w:rPr>
                <w:rFonts w:hint="eastAsia" w:ascii="仿宋_GB2312" w:hAnsi="Calibri" w:eastAsia="仿宋_GB2312" w:cs="ArialUnicodeMS"/>
                <w:kern w:val="0"/>
                <w:sz w:val="28"/>
                <w:szCs w:val="28"/>
                <w:lang w:val="en-US" w:eastAsia="zh-CN"/>
              </w:rPr>
            </w:pPr>
            <w:r>
              <w:rPr>
                <w:rFonts w:hint="eastAsia" w:ascii="仿宋_GB2312" w:hAnsi="Cambria" w:eastAsia="仿宋_GB2312" w:cs="ArialUnicodeMS"/>
                <w:kern w:val="0"/>
                <w:sz w:val="28"/>
                <w:szCs w:val="28"/>
              </w:rPr>
              <w:t>唐山市统计局(本级)</w:t>
            </w:r>
          </w:p>
        </w:tc>
        <w:tc>
          <w:tcPr>
            <w:tcW w:w="2726" w:type="dxa"/>
            <w:textDirection w:val="lrTb"/>
            <w:vAlign w:val="top"/>
          </w:tcPr>
          <w:p>
            <w:pPr>
              <w:spacing w:after="0" w:line="560" w:lineRule="exact"/>
              <w:jc w:val="center"/>
              <w:rPr>
                <w:rFonts w:hint="eastAsia" w:ascii="仿宋_GB2312" w:hAnsi="Calibri" w:eastAsia="仿宋_GB2312" w:cs="ArialUnicodeMS"/>
                <w:kern w:val="0"/>
                <w:sz w:val="28"/>
                <w:szCs w:val="28"/>
                <w:lang w:eastAsia="zh-CN"/>
              </w:rPr>
            </w:pPr>
            <w:r>
              <w:rPr>
                <w:rFonts w:hint="eastAsia" w:ascii="仿宋_GB2312" w:hAnsi="Cambria" w:eastAsia="仿宋_GB2312" w:cs="ArialUnicodeMS"/>
                <w:kern w:val="0"/>
                <w:sz w:val="28"/>
                <w:szCs w:val="28"/>
              </w:rPr>
              <w:t>行政单位</w:t>
            </w:r>
          </w:p>
        </w:tc>
        <w:tc>
          <w:tcPr>
            <w:tcW w:w="2075" w:type="dxa"/>
            <w:textDirection w:val="lrTb"/>
            <w:vAlign w:val="top"/>
          </w:tcPr>
          <w:p>
            <w:pPr>
              <w:spacing w:after="0" w:line="560" w:lineRule="exact"/>
              <w:jc w:val="center"/>
              <w:rPr>
                <w:rFonts w:hint="eastAsia" w:ascii="仿宋_GB2312" w:hAnsi="Calibri" w:eastAsia="仿宋_GB2312" w:cs="ArialUnicodeMS"/>
                <w:kern w:val="0"/>
                <w:sz w:val="28"/>
                <w:szCs w:val="28"/>
                <w:lang w:eastAsia="zh-CN"/>
              </w:rPr>
            </w:pPr>
            <w:r>
              <w:rPr>
                <w:rFonts w:hint="eastAsia" w:ascii="仿宋_GB2312" w:hAnsi="Cambria" w:eastAsia="仿宋_GB2312" w:cs="ArialUnicodeMS"/>
                <w:kern w:val="0"/>
                <w:sz w:val="28"/>
                <w:szCs w:val="28"/>
              </w:rPr>
              <w:t>财政拨款</w:t>
            </w:r>
          </w:p>
        </w:tc>
      </w:tr>
      <w:tr>
        <w:trPr>
          <w:trHeight w:val="596" w:hRule="atLeast"/>
          <w:jc w:val="center"/>
        </w:trPr>
        <w:tc>
          <w:tcPr>
            <w:tcW w:w="985" w:type="dxa"/>
            <w:vAlign w:val="center"/>
          </w:tcPr>
          <w:p>
            <w:pPr>
              <w:spacing w:after="0"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2</w:t>
            </w:r>
          </w:p>
        </w:tc>
        <w:tc>
          <w:tcPr>
            <w:tcW w:w="3485" w:type="dxa"/>
            <w:textDirection w:val="lrTb"/>
            <w:vAlign w:val="center"/>
          </w:tcPr>
          <w:p>
            <w:pPr>
              <w:spacing w:after="0" w:line="560" w:lineRule="exact"/>
              <w:jc w:val="left"/>
              <w:rPr>
                <w:rFonts w:hint="eastAsia" w:ascii="仿宋_GB2312" w:hAnsi="Calibri" w:eastAsia="仿宋_GB2312" w:cs="ArialUnicodeMS"/>
                <w:kern w:val="0"/>
                <w:sz w:val="28"/>
                <w:szCs w:val="28"/>
                <w:lang w:val="en-US" w:eastAsia="zh-CN"/>
              </w:rPr>
            </w:pPr>
            <w:r>
              <w:rPr>
                <w:rFonts w:ascii="仿宋_GB2312" w:hAnsi="Cambria" w:eastAsia="仿宋_GB2312" w:cs="ArialUnicodeMS"/>
                <w:kern w:val="0"/>
                <w:sz w:val="28"/>
                <w:szCs w:val="28"/>
              </w:rPr>
              <w:t>唐山市普查中心</w:t>
            </w:r>
          </w:p>
        </w:tc>
        <w:tc>
          <w:tcPr>
            <w:tcW w:w="2726" w:type="dxa"/>
            <w:textDirection w:val="lrTb"/>
            <w:vAlign w:val="center"/>
          </w:tcPr>
          <w:p>
            <w:pPr>
              <w:spacing w:after="0" w:line="560" w:lineRule="exact"/>
              <w:jc w:val="center"/>
              <w:rPr>
                <w:rFonts w:hint="eastAsia" w:ascii="仿宋_GB2312" w:hAnsi="Calibri" w:eastAsia="仿宋_GB2312" w:cs="ArialUnicodeMS"/>
                <w:kern w:val="0"/>
                <w:sz w:val="28"/>
                <w:szCs w:val="28"/>
                <w:lang w:eastAsia="zh-CN"/>
              </w:rPr>
            </w:pPr>
            <w:r>
              <w:rPr>
                <w:rFonts w:ascii="仿宋_GB2312" w:hAnsi="Cambria" w:eastAsia="仿宋_GB2312" w:cs="ArialUnicodeMS"/>
                <w:kern w:val="0"/>
                <w:sz w:val="28"/>
                <w:szCs w:val="28"/>
              </w:rPr>
              <w:t>参公事业</w:t>
            </w:r>
            <w:r>
              <w:rPr>
                <w:rFonts w:hint="eastAsia" w:ascii="仿宋_GB2312" w:hAnsi="Cambria" w:eastAsia="仿宋_GB2312" w:cs="ArialUnicodeMS"/>
                <w:kern w:val="0"/>
                <w:sz w:val="28"/>
                <w:szCs w:val="28"/>
              </w:rPr>
              <w:t>单位</w:t>
            </w:r>
          </w:p>
        </w:tc>
        <w:tc>
          <w:tcPr>
            <w:tcW w:w="2075" w:type="dxa"/>
            <w:textDirection w:val="lrTb"/>
            <w:vAlign w:val="top"/>
          </w:tcPr>
          <w:p>
            <w:pPr>
              <w:spacing w:after="0" w:line="560" w:lineRule="exact"/>
              <w:jc w:val="center"/>
              <w:rPr>
                <w:rFonts w:hint="eastAsia" w:ascii="仿宋_GB2312" w:hAnsi="Calibri" w:eastAsia="仿宋_GB2312" w:cs="ArialUnicodeMS"/>
                <w:kern w:val="0"/>
                <w:sz w:val="28"/>
                <w:szCs w:val="28"/>
                <w:lang w:eastAsia="zh-CN"/>
              </w:rPr>
            </w:pPr>
            <w:r>
              <w:rPr>
                <w:rFonts w:hint="eastAsia" w:ascii="仿宋_GB2312" w:hAnsi="Cambria" w:eastAsia="仿宋_GB2312" w:cs="ArialUnicodeMS"/>
                <w:kern w:val="0"/>
                <w:sz w:val="28"/>
                <w:szCs w:val="28"/>
              </w:rPr>
              <w:t>财政拨款</w:t>
            </w:r>
          </w:p>
        </w:tc>
      </w:tr>
      <w:tr>
        <w:trPr>
          <w:trHeight w:val="596" w:hRule="atLeast"/>
          <w:jc w:val="center"/>
        </w:trPr>
        <w:tc>
          <w:tcPr>
            <w:tcW w:w="985" w:type="dxa"/>
            <w:vAlign w:val="center"/>
          </w:tcPr>
          <w:p>
            <w:pPr>
              <w:spacing w:after="0"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3</w:t>
            </w:r>
          </w:p>
        </w:tc>
        <w:tc>
          <w:tcPr>
            <w:tcW w:w="3485" w:type="dxa"/>
            <w:textDirection w:val="lrTb"/>
            <w:vAlign w:val="center"/>
          </w:tcPr>
          <w:p>
            <w:pPr>
              <w:spacing w:after="0" w:line="560" w:lineRule="exact"/>
              <w:jc w:val="left"/>
              <w:rPr>
                <w:rFonts w:hint="eastAsia" w:ascii="仿宋_GB2312" w:hAnsi="Calibri" w:eastAsia="仿宋_GB2312" w:cs="ArialUnicodeMS"/>
                <w:kern w:val="0"/>
                <w:sz w:val="28"/>
                <w:szCs w:val="28"/>
                <w:lang w:val="en-US" w:eastAsia="zh-CN"/>
              </w:rPr>
            </w:pPr>
            <w:r>
              <w:rPr>
                <w:rFonts w:ascii="仿宋_GB2312" w:hAnsi="Cambria" w:eastAsia="仿宋_GB2312" w:cs="ArialUnicodeMS"/>
                <w:kern w:val="0"/>
                <w:sz w:val="28"/>
                <w:szCs w:val="28"/>
              </w:rPr>
              <w:t>唐山市农村</w:t>
            </w:r>
            <w:r>
              <w:rPr>
                <w:rFonts w:hint="eastAsia" w:ascii="仿宋_GB2312" w:hAnsi="Cambria" w:eastAsia="仿宋_GB2312" w:cs="ArialUnicodeMS"/>
                <w:kern w:val="0"/>
                <w:sz w:val="28"/>
                <w:szCs w:val="28"/>
              </w:rPr>
              <w:t>社会</w:t>
            </w:r>
            <w:r>
              <w:rPr>
                <w:rFonts w:ascii="仿宋_GB2312" w:hAnsi="Cambria" w:eastAsia="仿宋_GB2312" w:cs="ArialUnicodeMS"/>
                <w:kern w:val="0"/>
                <w:sz w:val="28"/>
                <w:szCs w:val="28"/>
              </w:rPr>
              <w:t>经济调查队</w:t>
            </w:r>
          </w:p>
        </w:tc>
        <w:tc>
          <w:tcPr>
            <w:tcW w:w="2726" w:type="dxa"/>
            <w:textDirection w:val="lrTb"/>
            <w:vAlign w:val="center"/>
          </w:tcPr>
          <w:p>
            <w:pPr>
              <w:spacing w:after="0" w:line="560" w:lineRule="exact"/>
              <w:jc w:val="center"/>
              <w:rPr>
                <w:rFonts w:hint="eastAsia" w:ascii="仿宋_GB2312" w:hAnsi="Calibri" w:eastAsia="仿宋_GB2312" w:cs="ArialUnicodeMS"/>
                <w:kern w:val="0"/>
                <w:sz w:val="28"/>
                <w:szCs w:val="28"/>
                <w:lang w:eastAsia="zh-CN"/>
              </w:rPr>
            </w:pPr>
            <w:r>
              <w:rPr>
                <w:rFonts w:ascii="仿宋_GB2312" w:hAnsi="Cambria" w:eastAsia="仿宋_GB2312" w:cs="ArialUnicodeMS"/>
                <w:kern w:val="0"/>
                <w:sz w:val="28"/>
                <w:szCs w:val="28"/>
              </w:rPr>
              <w:t>参公事业</w:t>
            </w:r>
            <w:r>
              <w:rPr>
                <w:rFonts w:hint="eastAsia" w:ascii="仿宋_GB2312" w:hAnsi="Cambria" w:eastAsia="仿宋_GB2312" w:cs="ArialUnicodeMS"/>
                <w:kern w:val="0"/>
                <w:sz w:val="28"/>
                <w:szCs w:val="28"/>
              </w:rPr>
              <w:t>单位</w:t>
            </w:r>
          </w:p>
        </w:tc>
        <w:tc>
          <w:tcPr>
            <w:tcW w:w="2075" w:type="dxa"/>
            <w:textDirection w:val="lrTb"/>
            <w:vAlign w:val="top"/>
          </w:tcPr>
          <w:p>
            <w:pPr>
              <w:spacing w:after="0" w:line="560" w:lineRule="exact"/>
              <w:jc w:val="center"/>
              <w:rPr>
                <w:rFonts w:hint="eastAsia" w:ascii="仿宋_GB2312" w:hAnsi="Calibri" w:eastAsia="仿宋_GB2312" w:cs="ArialUnicodeMS"/>
                <w:kern w:val="0"/>
                <w:sz w:val="28"/>
                <w:szCs w:val="28"/>
                <w:lang w:eastAsia="zh-CN"/>
              </w:rPr>
            </w:pPr>
            <w:r>
              <w:rPr>
                <w:rFonts w:hint="eastAsia" w:ascii="仿宋_GB2312" w:hAnsi="Cambria" w:eastAsia="仿宋_GB2312" w:cs="ArialUnicodeMS"/>
                <w:kern w:val="0"/>
                <w:sz w:val="28"/>
                <w:szCs w:val="28"/>
              </w:rPr>
              <w:t>财政拨款</w:t>
            </w:r>
          </w:p>
        </w:tc>
      </w:tr>
      <w:tr>
        <w:trPr>
          <w:trHeight w:val="606" w:hRule="atLeast"/>
          <w:jc w:val="center"/>
        </w:trPr>
        <w:tc>
          <w:tcPr>
            <w:tcW w:w="985" w:type="dxa"/>
            <w:tcBorders>
              <w:bottom w:val="single" w:color="auto" w:sz="4" w:space="0"/>
            </w:tcBorders>
            <w:vAlign w:val="center"/>
          </w:tcPr>
          <w:p>
            <w:pPr>
              <w:spacing w:after="0"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4</w:t>
            </w:r>
          </w:p>
        </w:tc>
        <w:tc>
          <w:tcPr>
            <w:tcW w:w="3485" w:type="dxa"/>
            <w:tcBorders>
              <w:bottom w:val="single" w:color="auto" w:sz="4" w:space="0"/>
            </w:tcBorders>
            <w:textDirection w:val="lrTb"/>
            <w:vAlign w:val="center"/>
          </w:tcPr>
          <w:p>
            <w:pPr>
              <w:spacing w:after="0" w:line="560" w:lineRule="exact"/>
              <w:jc w:val="left"/>
              <w:rPr>
                <w:rFonts w:hint="eastAsia" w:ascii="仿宋_GB2312" w:hAnsi="Calibri" w:eastAsia="仿宋_GB2312" w:cs="ArialUnicodeMS"/>
                <w:kern w:val="0"/>
                <w:sz w:val="28"/>
                <w:szCs w:val="28"/>
                <w:lang w:eastAsia="zh-CN"/>
              </w:rPr>
            </w:pPr>
            <w:r>
              <w:rPr>
                <w:rFonts w:ascii="仿宋_GB2312" w:hAnsi="Cambria" w:eastAsia="仿宋_GB2312" w:cs="ArialUnicodeMS"/>
                <w:kern w:val="0"/>
                <w:sz w:val="28"/>
                <w:szCs w:val="28"/>
              </w:rPr>
              <w:t>唐山市统计局数据管理中心</w:t>
            </w:r>
          </w:p>
        </w:tc>
        <w:tc>
          <w:tcPr>
            <w:tcW w:w="2726" w:type="dxa"/>
            <w:tcBorders>
              <w:bottom w:val="single" w:color="auto" w:sz="4" w:space="0"/>
            </w:tcBorders>
            <w:textDirection w:val="lrTb"/>
            <w:vAlign w:val="center"/>
          </w:tcPr>
          <w:p>
            <w:pPr>
              <w:spacing w:after="0" w:line="560" w:lineRule="exact"/>
              <w:jc w:val="center"/>
              <w:rPr>
                <w:rFonts w:hint="eastAsia" w:ascii="仿宋_GB2312" w:hAnsi="Calibri" w:eastAsia="仿宋_GB2312" w:cs="ArialUnicodeMS"/>
                <w:kern w:val="0"/>
                <w:sz w:val="28"/>
                <w:szCs w:val="28"/>
                <w:lang w:eastAsia="zh-CN"/>
              </w:rPr>
            </w:pPr>
            <w:r>
              <w:rPr>
                <w:rFonts w:ascii="仿宋_GB2312" w:hAnsi="Cambria" w:eastAsia="仿宋_GB2312" w:cs="ArialUnicodeMS"/>
                <w:kern w:val="0"/>
                <w:sz w:val="28"/>
                <w:szCs w:val="28"/>
              </w:rPr>
              <w:t>全额拨款事业单位</w:t>
            </w:r>
          </w:p>
        </w:tc>
        <w:tc>
          <w:tcPr>
            <w:tcW w:w="2075" w:type="dxa"/>
            <w:tcBorders>
              <w:bottom w:val="single" w:color="auto" w:sz="4" w:space="0"/>
            </w:tcBorders>
            <w:textDirection w:val="lrTb"/>
            <w:vAlign w:val="top"/>
          </w:tcPr>
          <w:p>
            <w:pPr>
              <w:spacing w:after="0" w:line="560" w:lineRule="exact"/>
              <w:jc w:val="center"/>
              <w:rPr>
                <w:rFonts w:hint="eastAsia" w:ascii="仿宋_GB2312" w:hAnsi="Calibri" w:eastAsia="仿宋_GB2312" w:cs="ArialUnicodeMS"/>
                <w:kern w:val="0"/>
                <w:sz w:val="28"/>
                <w:szCs w:val="28"/>
                <w:lang w:eastAsia="zh-CN"/>
              </w:rPr>
            </w:pPr>
            <w:r>
              <w:rPr>
                <w:rFonts w:hint="eastAsia" w:ascii="仿宋_GB2312" w:hAnsi="Cambria" w:eastAsia="仿宋_GB2312" w:cs="ArialUnicodeMS"/>
                <w:kern w:val="0"/>
                <w:sz w:val="28"/>
                <w:szCs w:val="28"/>
              </w:rPr>
              <w:t>财政拨款</w:t>
            </w:r>
          </w:p>
        </w:tc>
      </w:tr>
      <w:tr>
        <w:trPr>
          <w:trHeight w:val="606" w:hRule="atLeast"/>
          <w:jc w:val="center"/>
        </w:trPr>
        <w:tc>
          <w:tcPr>
            <w:tcW w:w="9271" w:type="dxa"/>
            <w:gridSpan w:val="4"/>
            <w:tcBorders>
              <w:top w:val="single" w:color="auto" w:sz="4" w:space="0"/>
              <w:left w:val="nil"/>
              <w:bottom w:val="nil"/>
              <w:right w:val="nil"/>
            </w:tcBorders>
            <w:vAlign w:val="top"/>
          </w:tcPr>
          <w:p>
            <w:pPr>
              <w:numPr>
                <w:numId w:val="0"/>
              </w:numPr>
              <w:spacing w:after="0" w:line="560" w:lineRule="exact"/>
              <w:jc w:val="left"/>
              <w:rPr>
                <w:rFonts w:hint="eastAsia" w:ascii="仿宋_GB2312" w:hAnsi="Calibri" w:eastAsia="仿宋_GB2312" w:cs="ArialUnicodeMS"/>
                <w:kern w:val="0"/>
                <w:sz w:val="28"/>
                <w:szCs w:val="28"/>
                <w:highlight w:val="none"/>
                <w:lang w:val="en-US" w:eastAsia="zh-CN"/>
              </w:rPr>
            </w:pPr>
            <w:r>
              <w:rPr>
                <w:rFonts w:hint="eastAsia" w:ascii="仿宋_GB2312" w:hAnsi="Calibri" w:eastAsia="仿宋_GB2312" w:cs="ArialUnicodeMS"/>
                <w:kern w:val="0"/>
                <w:sz w:val="28"/>
                <w:szCs w:val="28"/>
                <w:highlight w:val="none"/>
                <w:lang w:val="en-US" w:eastAsia="zh-CN"/>
              </w:rPr>
              <w:t>注：1、单位基本性质分为行政单位、参公事业单位、财政补助事业单位、经费自理事业单位四类。</w:t>
            </w:r>
          </w:p>
          <w:p>
            <w:pPr>
              <w:spacing w:after="0" w:line="560" w:lineRule="exact"/>
              <w:ind w:firstLine="560" w:firstLineChars="200"/>
              <w:jc w:val="lef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highlight w:val="none"/>
                <w:lang w:val="en-US" w:eastAsia="zh-CN"/>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sectPr>
          <w:headerReference r:id="rId9" w:type="first"/>
          <w:footerReference r:id="rId11" w:type="first"/>
          <w:headerReference r:id="rId8" w:type="default"/>
          <w:footerReference r:id="rId10" w:type="default"/>
          <w:type w:val="continuous"/>
          <w:pgSz w:w="11906" w:h="16838"/>
          <w:pgMar w:top="2041" w:right="1531" w:bottom="2041" w:left="1531" w:header="851" w:footer="992" w:gutter="0"/>
          <w:cols w:space="720" w:num="1"/>
          <w:titlePg/>
          <w:rtlGutter w:val="0"/>
          <w:docGrid w:type="lines" w:linePitch="312"/>
        </w:sectPr>
      </w:pPr>
    </w:p>
    <w:p>
      <w:pPr>
        <w:widowControl/>
        <w:spacing w:after="160" w:line="580" w:lineRule="exact"/>
        <w:ind w:firstLine="640" w:firstLineChars="200"/>
        <w:sectPr>
          <w:headerReference r:id="rId12" w:type="default"/>
          <w:type w:val="continuous"/>
          <w:pgSz w:w="11906" w:h="16838"/>
          <w:pgMar w:top="2041" w:right="1531" w:bottom="2041" w:left="1531" w:header="851" w:footer="992" w:gutter="0"/>
          <w:pgNumType w:fmt="numberInDash"/>
          <w:cols w:space="720" w:num="1"/>
          <w:titlePg/>
          <w:rtlGutter w:val="0"/>
          <w:docGrid w:type="lines" w:linePitch="312"/>
        </w:sectPr>
      </w:pPr>
    </w:p>
    <w:p>
      <w:pPr>
        <w:widowControl/>
        <w:spacing w:after="160" w:line="580" w:lineRule="exact"/>
        <w:ind w:firstLine="1440" w:firstLineChars="200"/>
        <w:sectPr>
          <w:pgSz w:w="11906" w:h="16838"/>
          <w:pgMar w:top="2041" w:right="1531" w:bottom="2041" w:left="1531" w:header="851" w:footer="992" w:gutter="0"/>
          <w:pgNumType w:fmt="numberInDash"/>
          <w:cols w:space="720" w:num="1"/>
          <w:titlePg/>
          <w:rtlGutter w:val="0"/>
          <w:docGrid w:type="lines" w:linePitch="312"/>
        </w:sectPr>
      </w:pPr>
      <w:r>
        <w:rPr>
          <w:rFonts w:ascii="等线" w:hAnsi="等线" w:eastAsia="等线" w:cs="黑体"/>
          <w:kern w:val="2"/>
          <w:sz w:val="72"/>
          <w:szCs w:val="22"/>
          <w:lang w:val="en-US" w:eastAsia="zh-CN" w:bidi="ar-SA"/>
        </w:rPr>
        <w:pict>
          <v:rect id="文本框 151" o:spid="_x0000_s1035" style="position:absolute;left:0;margin-left:-85.6pt;margin-top:238.15pt;height:173.25pt;width:613.65pt;rotation:0f;z-index:251668480;" o:ole="f" fillcolor="#FFFFFF" filled="f" o:preferrelative="t" stroked="f" coordsize="21600,21600">
            <v:fill on="f" color2="#FFFFFF" focus="0%"/>
            <v:imagedata gain="65536f" blacklevel="0f" gamma="0"/>
            <o:lock v:ext="edit" position="f" selection="f" grouping="f" rotation="f" cropping="f" text="f" aspectratio="f"/>
            <v:textbox>
              <w:txbxContent>
                <w:p>
                  <w:pPr>
                    <w:widowControl/>
                    <w:jc w:val="center"/>
                    <w:rPr>
                      <w:rFonts w:hint="eastAsia" w:ascii="黑体" w:hAnsi="黑体" w:eastAsia="黑体" w:cs="黑体"/>
                      <w:color w:val="000000"/>
                      <w:sz w:val="96"/>
                      <w:szCs w:val="96"/>
                      <w:lang w:val="en-US" w:eastAsia="zh-CN"/>
                    </w:rPr>
                  </w:pPr>
                  <w:r>
                    <w:rPr>
                      <w:rFonts w:hint="eastAsia" w:ascii="黑体" w:hAnsi="黑体" w:eastAsia="黑体" w:cs="黑体"/>
                      <w:color w:val="000000"/>
                      <w:sz w:val="96"/>
                      <w:szCs w:val="96"/>
                      <w:lang w:val="en-US" w:eastAsia="zh-CN"/>
                    </w:rPr>
                    <w:t xml:space="preserve"> </w:t>
                  </w:r>
                </w:p>
                <w:p>
                  <w:pPr>
                    <w:widowControl/>
                    <w:jc w:val="center"/>
                    <w:rPr>
                      <w:rFonts w:hint="eastAsia" w:ascii="黑体" w:hAnsi="黑体" w:eastAsia="黑体" w:cs="黑体"/>
                      <w:color w:val="000000"/>
                      <w:sz w:val="96"/>
                      <w:szCs w:val="96"/>
                      <w:lang w:val="en-US" w:eastAsia="zh-CN"/>
                    </w:rPr>
                  </w:pPr>
                </w:p>
              </w:txbxContent>
            </v:textbox>
          </v:rect>
        </w:pic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rFonts w:ascii="等线" w:hAnsi="等线" w:eastAsia="等线" w:cs="黑体"/>
          <w:kern w:val="2"/>
          <w:sz w:val="72"/>
          <w:szCs w:val="22"/>
          <w:lang w:val="en-US" w:eastAsia="zh-CN" w:bidi="ar-SA"/>
        </w:rPr>
        <w:pict>
          <v:rect id="文本框 187" o:spid="_x0000_s1036" style="position:absolute;left:0;margin-left:-90.7pt;margin-top:4.35pt;height:263.1pt;width:613.65pt;rotation:0f;z-index:251669504;" o:ole="f" fillcolor="#FFD966" filled="t" o:preferrelative="t" stroked="t" coordsize="21600,21600">
            <v:fill type="pattern" on="t" color2="#FFFFFF" o:opacity2="100%" o:title="" focus="0%" r:id="rId22"/>
            <v:stroke weight="0.5pt" color="#FFD966" color2="#FFFFFF" opacity="100%" miterlimit="2"/>
            <v:imagedata gain="65536f" blacklevel="0f" gamma="0"/>
            <o:lock v:ext="edit" position="f" selection="f" grouping="f" rotation="f" cropping="f" text="f" aspectratio="f"/>
            <v:textbox>
              <w:txbxContent>
                <w:p>
                  <w:pPr>
                    <w:widowControl/>
                    <w:jc w:val="center"/>
                    <w:rPr>
                      <w:rFonts w:hint="eastAsia"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 xml:space="preserve">第二部分 </w:t>
                  </w:r>
                </w:p>
                <w:p>
                  <w:pPr>
                    <w:widowControl/>
                    <w:jc w:val="center"/>
                    <w:rPr>
                      <w:rFonts w:hint="default"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2019年部门决算情况说明</w:t>
                  </w:r>
                </w:p>
                <w:p>
                  <w:pPr>
                    <w:rPr>
                      <w:rFonts w:hint="eastAsia"/>
                      <w:lang w:val="en-US"/>
                    </w:rPr>
                  </w:pPr>
                </w:p>
              </w:txbxContent>
            </v:textbox>
          </v:rect>
        </w:pic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widowControl w:val="0"/>
        <w:wordWrap/>
        <w:adjustRightInd w:val="0"/>
        <w:snapToGrid w:val="0"/>
        <w:spacing w:line="580" w:lineRule="exact"/>
        <w:ind w:right="0" w:firstLine="640" w:firstLineChars="200"/>
        <w:textAlignment w:val="auto"/>
        <w:rPr>
          <w:rFonts w:hint="eastAsia" w:ascii="仿宋" w:hAnsi="仿宋" w:eastAsia="仿宋" w:cs="仿宋"/>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Times New Roman" w:hAnsi="Times New Roman" w:eastAsia="宋体"/>
          <w:kern w:val="2"/>
          <w:sz w:val="32"/>
          <w:lang w:val="en-US" w:eastAsia="zh-CN"/>
        </w:rPr>
        <w:t>1893.32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收支各减少219.35万元，下降10.38%，</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2019年</w:t>
      </w:r>
      <w:r>
        <w:rPr>
          <w:rFonts w:hint="eastAsia" w:ascii="仿宋" w:hAnsi="仿宋" w:eastAsia="仿宋" w:cs="仿宋"/>
          <w:sz w:val="32"/>
          <w:szCs w:val="32"/>
          <w:lang w:val="en-US" w:eastAsia="zh-CN"/>
        </w:rPr>
        <w:t>减少</w:t>
      </w:r>
      <w:r>
        <w:rPr>
          <w:rFonts w:hint="eastAsia" w:ascii="仿宋" w:hAnsi="仿宋" w:eastAsia="仿宋" w:cs="仿宋"/>
          <w:sz w:val="32"/>
          <w:szCs w:val="32"/>
        </w:rPr>
        <w:t>人员统计素质提升计划项目</w:t>
      </w:r>
      <w:r>
        <w:rPr>
          <w:rFonts w:hint="eastAsia" w:ascii="仿宋" w:hAnsi="仿宋" w:eastAsia="仿宋" w:cs="仿宋"/>
          <w:sz w:val="32"/>
          <w:szCs w:val="32"/>
          <w:lang w:eastAsia="zh-CN"/>
        </w:rPr>
        <w:t>。</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widowControl w:val="0"/>
        <w:wordWrap/>
        <w:adjustRightInd w:val="0"/>
        <w:snapToGrid w:val="0"/>
        <w:spacing w:line="580" w:lineRule="exact"/>
        <w:ind w:right="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1714.79</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1714.79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ascii="等线" w:hAnsi="等线" w:eastAsia="等线" w:cs="黑体"/>
          <w:kern w:val="2"/>
          <w:sz w:val="21"/>
          <w:szCs w:val="22"/>
          <w:lang w:val="en-US" w:eastAsia="zh-CN" w:bidi="ar-SA"/>
        </w:rPr>
        <w:pict>
          <v:shape id="图片框 1102" o:spid="_x0000_s1040" type="#_x0000_t75" style="position:absolute;left:0;margin-left:93pt;margin-top:75.55pt;height:208.4pt;width:258pt;rotation:0f;z-index:251674624;" o:ole="f" fillcolor="#FFFFFF" filled="f" o:preferrelative="t" stroked="f" coordorigin="0,0" coordsize="21600,21600">
            <v:fill on="f" color2="#FFFFFF" focus="0%"/>
            <v:imagedata gain="65536f" blacklevel="0f" gamma="0" o:title="" r:id="rId23"/>
            <o:lock v:ext="edit" position="f" selection="f" grouping="f" rotation="f" cropping="f" text="f" aspectratio="t"/>
          </v:shape>
        </w:pic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1729.17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1608.73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93.03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120.44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6.97</w:t>
      </w:r>
      <w:r>
        <w:rPr>
          <w:rFonts w:hint="eastAsia" w:ascii="仿宋_GB2312" w:hAnsi="Times New Roman" w:eastAsia="仿宋_GB2312" w:cs="DengXian-Regular"/>
          <w:sz w:val="32"/>
          <w:szCs w:val="32"/>
        </w:rPr>
        <w:t>%。如图所示：</w:t>
      </w:r>
    </w:p>
    <w:p>
      <w:pPr>
        <w:widowControl w:val="0"/>
        <w:wordWrap/>
        <w:adjustRightInd w:val="0"/>
        <w:snapToGrid w:val="0"/>
        <w:spacing w:line="580" w:lineRule="exact"/>
        <w:ind w:right="0" w:firstLine="1260" w:firstLineChars="600"/>
        <w:textAlignment w:val="auto"/>
        <w:rPr>
          <w:rFonts w:hint="eastAsia" w:ascii="仿宋_GB2312" w:hAnsi="Times New Roman" w:eastAsia="仿宋_GB2312" w:cs="DengXian-Regular"/>
          <w:sz w:val="32"/>
          <w:szCs w:val="32"/>
          <w:lang w:eastAsia="zh-CN"/>
        </w:rPr>
      </w:pPr>
    </w:p>
    <w:p>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lang w:eastAsia="zh-CN"/>
        </w:rPr>
      </w:pPr>
    </w:p>
    <w:p>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widowControl w:val="0"/>
        <w:wordWrap/>
        <w:snapToGrid w:val="0"/>
        <w:spacing w:line="580" w:lineRule="exact"/>
        <w:ind w:right="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年度决算对比情况</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rPr>
      </w:pPr>
      <w:r>
        <w:rPr>
          <w:rFonts w:ascii="等线" w:hAnsi="等线" w:eastAsia="等线" w:cs="黑体"/>
          <w:kern w:val="2"/>
          <w:sz w:val="21"/>
          <w:szCs w:val="22"/>
          <w:lang w:val="en-US" w:eastAsia="zh-CN" w:bidi="ar-SA"/>
        </w:rPr>
        <w:pict>
          <v:shape id="图片框 1111" o:spid="_x0000_s1039" type="#_x0000_t75" style="position:absolute;left:0;margin-left:78.75pt;margin-top:145.85pt;height:201.9pt;width:221.3pt;mso-wrap-distance-bottom:0pt;mso-wrap-distance-left:9pt;mso-wrap-distance-right:9pt;mso-wrap-distance-top:0pt;rotation:0f;z-index:251673600;" o:ole="f" fillcolor="#FFFFFF" filled="f" o:preferrelative="t" stroked="f" coordorigin="0,0" coordsize="21600,21600">
            <v:fill on="f" color2="#FFFFFF" focus="0%"/>
            <v:imagedata gain="65536f" blacklevel="0f" gamma="0" o:title="" r:id="rId24"/>
            <o:lock v:ext="edit" position="f" selection="f" grouping="f" rotation="f" cropping="f" text="f" aspectratio="t"/>
            <w10:wrap type="square"/>
          </v:shape>
        </w:pic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其中本年收入1714.79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288.96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14.42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w:t>
      </w:r>
      <w:r>
        <w:rPr>
          <w:rFonts w:hint="eastAsia" w:ascii="仿宋" w:hAnsi="仿宋" w:eastAsia="仿宋" w:cs="仿宋"/>
          <w:sz w:val="32"/>
          <w:szCs w:val="32"/>
        </w:rPr>
        <w:t>人员统计素质提升计划项目</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支出1,711.70万元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212.94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11.06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专项普查经费减少，其他统计信息项目减少</w:t>
      </w:r>
      <w:r>
        <w:rPr>
          <w:rFonts w:hint="eastAsia" w:ascii="仿宋_GB2312" w:hAnsi="Times New Roman" w:eastAsia="仿宋_GB2312" w:cs="DengXian-Regular"/>
          <w:sz w:val="32"/>
          <w:szCs w:val="32"/>
        </w:rPr>
        <w:t>。</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rPr>
      </w:pP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rPr>
      </w:pP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highlight w:val="yellow"/>
        </w:rPr>
      </w:pP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highlight w:val="yellow"/>
        </w:rPr>
      </w:pP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highlight w:val="yellow"/>
        </w:rPr>
      </w:pP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highlight w:val="yellow"/>
        </w:rPr>
      </w:pPr>
    </w:p>
    <w:p>
      <w:pPr>
        <w:widowControl w:val="0"/>
        <w:wordWrap/>
        <w:snapToGrid w:val="0"/>
        <w:spacing w:line="580" w:lineRule="exact"/>
        <w:ind w:right="0"/>
        <w:textAlignment w:val="auto"/>
        <w:rPr>
          <w:rFonts w:hint="eastAsia" w:ascii="楷体_GB2312" w:hAnsi="Times New Roman" w:eastAsia="楷体_GB2312" w:cs="DengXian-Bold"/>
          <w:b/>
          <w:bCs/>
          <w:sz w:val="32"/>
          <w:szCs w:val="32"/>
        </w:rPr>
      </w:pPr>
    </w:p>
    <w:p>
      <w:pPr>
        <w:widowControl w:val="0"/>
        <w:wordWrap/>
        <w:snapToGrid w:val="0"/>
        <w:spacing w:line="580" w:lineRule="exact"/>
        <w:ind w:right="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1714.79万元，完成年初预算的128.94%,比年初预算增加382.55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1、2019年新增11人2、追加唐山市房地产网签价格统计调查经费</w:t>
      </w:r>
      <w:r>
        <w:rPr>
          <w:rFonts w:hint="eastAsia" w:ascii="仿宋_GB2312" w:hAnsi="Times New Roman" w:eastAsia="仿宋_GB2312" w:cs="DengXian-Regular"/>
          <w:sz w:val="32"/>
          <w:szCs w:val="32"/>
        </w:rPr>
        <w:t>；本年支出1,711.70</w:t>
      </w:r>
      <w:r>
        <w:rPr>
          <w:rFonts w:hint="eastAsia" w:ascii="仿宋_GB2312" w:hAnsi="Times New Roman" w:eastAsia="仿宋_GB2312" w:cs="DengXian-Regular"/>
          <w:sz w:val="32"/>
          <w:szCs w:val="32"/>
          <w:lang w:val="en-US" w:eastAsia="zh-CN"/>
        </w:rPr>
        <w:t>万元，完成年初预算的128.48%,比年初预算增加379.46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1、2019年新增11人2、追加唐山市房地产网签价格统计调查经费</w:t>
      </w:r>
      <w:r>
        <w:rPr>
          <w:rFonts w:hint="eastAsia" w:ascii="仿宋_GB2312" w:hAnsi="Times New Roman" w:eastAsia="仿宋_GB2312" w:cs="DengXian-Regular"/>
          <w:sz w:val="32"/>
          <w:szCs w:val="32"/>
        </w:rPr>
        <w:t>。</w:t>
      </w:r>
    </w:p>
    <w:p>
      <w:pPr>
        <w:widowControl w:val="0"/>
        <w:numPr>
          <w:ilvl w:val="0"/>
          <w:numId w:val="1"/>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widowControl w:val="0"/>
        <w:wordWrap/>
        <w:adjustRightInd w:val="0"/>
        <w:snapToGrid w:val="0"/>
        <w:spacing w:line="580" w:lineRule="exact"/>
        <w:ind w:right="0" w:firstLine="640" w:firstLineChars="200"/>
        <w:textAlignment w:val="auto"/>
        <w:rPr>
          <w:rFonts w:hint="default" w:ascii="仿宋_GB2312" w:hAnsi="Times New Roman" w:eastAsia="仿宋_GB2312" w:cs="DengXian-Regular"/>
          <w:sz w:val="32"/>
          <w:szCs w:val="32"/>
          <w:lang w:val="en-US" w:eastAsia="zh-CN"/>
        </w:rPr>
      </w:pPr>
      <w:r>
        <w:rPr>
          <w:rFonts w:ascii="等线" w:hAnsi="等线" w:eastAsia="等线" w:cs="黑体"/>
          <w:kern w:val="2"/>
          <w:sz w:val="21"/>
          <w:szCs w:val="22"/>
          <w:lang w:val="en-US" w:eastAsia="zh-CN" w:bidi="ar-SA"/>
        </w:rPr>
        <w:pict>
          <v:shape id="图片框 1112" o:spid="_x0000_s1026" type="#_x0000_t75" style="position:absolute;left:0;margin-left:24.75pt;margin-top:180.4pt;height:233.2pt;width:382.45pt;mso-wrap-distance-left:9pt;mso-wrap-distance-right:9pt;rotation:0f;z-index:-251657216;" o:ole="f" fillcolor="#FFFFFF" filled="f" o:preferrelative="t" stroked="f" coordorigin="0,0" coordsize="21600,21600" wrapcoords="21592 -2 0 0 0 21600 21592 21602 8 21602 21600 21600 21600 0 8 -2 21592 -2">
            <v:fill on="f" color2="#FFFFFF" focus="0%"/>
            <v:imagedata gain="65536f" blacklevel="0f" gamma="0" o:title="" r:id="rId25"/>
            <o:lock v:ext="edit" position="f" selection="f" grouping="f" rotation="f" cropping="f" text="f" aspectratio="t"/>
            <w10:wrap type="through"/>
          </v:shape>
        </w:pict>
      </w:r>
      <w:r>
        <w:rPr>
          <w:rFonts w:hint="eastAsia" w:ascii="仿宋_GB2312" w:hAnsi="Times New Roman" w:eastAsia="仿宋_GB2312" w:cs="DengXian-Regular"/>
          <w:sz w:val="32"/>
          <w:szCs w:val="32"/>
          <w:lang w:val="en-US" w:eastAsia="zh-CN"/>
        </w:rPr>
        <w:t>2019 年度财政拨款支出1711.70万元，主要用于以下方</w:t>
      </w:r>
      <w:r>
        <w:rPr>
          <w:rFonts w:hint="eastAsia" w:ascii="仿宋_GB2312" w:hAnsi="Times New Roman" w:eastAsia="仿宋_GB2312" w:cs="DengXian-Regular"/>
          <w:sz w:val="32"/>
          <w:szCs w:val="32"/>
          <w:highlight w:val="none"/>
          <w:lang w:val="en-US" w:eastAsia="zh-CN"/>
        </w:rPr>
        <w:t>面：</w:t>
      </w:r>
      <w:r>
        <w:rPr>
          <w:rFonts w:hint="eastAsia" w:ascii="仿宋_GB2312" w:hAnsi="Times New Roman" w:eastAsia="仿宋_GB2312" w:cs="DengXian-Regular"/>
          <w:sz w:val="32"/>
          <w:szCs w:val="32"/>
          <w:lang w:val="en-US" w:eastAsia="zh-CN"/>
        </w:rPr>
        <w:t>一般公共服务（类）支出1422.24万元，占83.09%，；教育（类）支出34.24万元，占2%；卫生健康（类）支出104.94万元，占6.13;社会保障和就业（类）支出87.3万元，占5.1%；住房保障（类）支出62.98万元，占 3.6%。</w:t>
      </w:r>
    </w:p>
    <w:p>
      <w:pPr>
        <w:widowControl w:val="0"/>
        <w:numPr>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right="0"/>
        <w:textAlignment w:val="auto"/>
        <w:rPr>
          <w:rFonts w:hint="eastAsia" w:ascii="楷体_GB2312" w:hAnsi="Times New Roman" w:eastAsia="楷体_GB2312" w:cs="DengXian-Bold"/>
          <w:b/>
          <w:bCs/>
          <w:sz w:val="32"/>
          <w:szCs w:val="32"/>
          <w:lang w:val="en-US" w:eastAsia="zh-CN"/>
        </w:rPr>
      </w:pPr>
    </w:p>
    <w:p>
      <w:pPr>
        <w:widowControl w:val="0"/>
        <w:numPr>
          <w:numId w:val="0"/>
        </w:numPr>
        <w:wordWrap/>
        <w:adjustRightInd w:val="0"/>
        <w:snapToGrid w:val="0"/>
        <w:spacing w:line="580" w:lineRule="exact"/>
        <w:ind w:leftChars="200" w:right="0"/>
        <w:jc w:val="center"/>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 xml:space="preserve">  财政拨款支出决算结构</w:t>
      </w:r>
    </w:p>
    <w:p>
      <w:pPr>
        <w:widowControl w:val="0"/>
        <w:numPr>
          <w:numId w:val="0"/>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年度财政拨款基本支出1594.59万元，其中：人员经费 1257.24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337.35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wordWrap/>
        <w:snapToGrid w:val="0"/>
        <w:spacing w:line="580" w:lineRule="exact"/>
        <w:ind w:right="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9.81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52.74%,</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8.79</w:t>
      </w:r>
      <w:r>
        <w:rPr>
          <w:rFonts w:hint="eastAsia" w:ascii="仿宋_GB2312" w:hAnsi="Times New Roman" w:eastAsia="仿宋_GB2312" w:cs="DengXian-Regular"/>
          <w:b w:val="0"/>
          <w:bCs w:val="0"/>
          <w:sz w:val="32"/>
          <w:szCs w:val="32"/>
        </w:rPr>
        <w:t>万元，降低</w:t>
      </w:r>
      <w:r>
        <w:rPr>
          <w:rFonts w:hint="eastAsia" w:ascii="仿宋_GB2312" w:hAnsi="Times New Roman" w:eastAsia="仿宋_GB2312" w:cs="DengXian-Regular"/>
          <w:b w:val="0"/>
          <w:bCs w:val="0"/>
          <w:sz w:val="32"/>
          <w:szCs w:val="32"/>
          <w:lang w:val="en-US" w:eastAsia="zh-CN"/>
        </w:rPr>
        <w:t>47.26</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节约开支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0.15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业务量较去年增加</w:t>
      </w:r>
      <w:r>
        <w:rPr>
          <w:rFonts w:hint="eastAsia" w:ascii="仿宋_GB2312" w:hAnsi="Times New Roman" w:eastAsia="仿宋_GB2312" w:cs="DengXian-Regular"/>
          <w:sz w:val="32"/>
          <w:szCs w:val="32"/>
        </w:rPr>
        <w:t>。具体情况如下：</w:t>
      </w:r>
    </w:p>
    <w:p>
      <w:pPr>
        <w:widowControl w:val="0"/>
        <w:numPr>
          <w:ilvl w:val="0"/>
          <w:numId w:val="2"/>
        </w:numPr>
        <w:wordWrap/>
        <w:adjustRightInd w:val="0"/>
        <w:snapToGrid w:val="0"/>
        <w:spacing w:line="580" w:lineRule="exact"/>
        <w:ind w:right="0" w:firstLine="643" w:firstLineChars="200"/>
        <w:textAlignment w:val="auto"/>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p>
    <w:p>
      <w:pPr>
        <w:widowControl w:val="0"/>
        <w:numPr>
          <w:numId w:val="0"/>
        </w:numPr>
        <w:wordWrap/>
        <w:adjustRightInd w:val="0"/>
        <w:snapToGrid w:val="0"/>
        <w:spacing w:line="580" w:lineRule="exact"/>
        <w:ind w:right="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val="0"/>
          <w:bCs w:val="0"/>
          <w:sz w:val="32"/>
          <w:szCs w:val="32"/>
          <w:lang w:eastAsia="zh-CN"/>
        </w:rPr>
        <w:t>本部门</w:t>
      </w:r>
      <w:r>
        <w:rPr>
          <w:rFonts w:hint="eastAsia" w:ascii="楷体_GB2312" w:hAnsi="Times New Roman" w:eastAsia="楷体_GB2312" w:cs="DengXian-Bold"/>
          <w:b w:val="0"/>
          <w:bCs w:val="0"/>
          <w:sz w:val="32"/>
          <w:szCs w:val="32"/>
          <w:lang w:val="en-US" w:eastAsia="zh-CN"/>
        </w:rPr>
        <w:t>2019年度未发生因公</w:t>
      </w:r>
      <w:r>
        <w:rPr>
          <w:rFonts w:hint="eastAsia" w:ascii="楷体_GB2312" w:hAnsi="Times New Roman" w:eastAsia="楷体_GB2312" w:cs="DengXian-Bold"/>
          <w:b w:val="0"/>
          <w:bCs w:val="0"/>
          <w:sz w:val="32"/>
          <w:szCs w:val="32"/>
        </w:rPr>
        <w:t>出国（境）费</w:t>
      </w:r>
      <w:r>
        <w:rPr>
          <w:rFonts w:hint="eastAsia" w:ascii="楷体_GB2312" w:hAnsi="Times New Roman" w:eastAsia="楷体_GB2312" w:cs="DengXian-Bold"/>
          <w:b w:val="0"/>
          <w:bCs w:val="0"/>
          <w:sz w:val="32"/>
          <w:szCs w:val="32"/>
          <w:lang w:eastAsia="zh-CN"/>
        </w:rPr>
        <w:t>支出，无增减变化，与年初预算持平、与</w:t>
      </w:r>
      <w:r>
        <w:rPr>
          <w:rFonts w:hint="eastAsia" w:ascii="楷体_GB2312" w:hAnsi="Times New Roman" w:eastAsia="楷体_GB2312" w:cs="DengXian-Bold"/>
          <w:b w:val="0"/>
          <w:bCs w:val="0"/>
          <w:sz w:val="32"/>
          <w:szCs w:val="32"/>
          <w:lang w:val="en-US" w:eastAsia="zh-CN"/>
        </w:rPr>
        <w:t>2018年度决算支出持平。</w:t>
      </w:r>
    </w:p>
    <w:p>
      <w:pPr>
        <w:widowControl w:val="0"/>
        <w:numPr>
          <w:numId w:val="0"/>
        </w:numPr>
        <w:wordWrap/>
        <w:adjustRightInd w:val="0"/>
        <w:snapToGrid w:val="0"/>
        <w:spacing w:line="580" w:lineRule="exact"/>
        <w:ind w:right="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8.68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8.32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48.94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合理规范公车使用节约开支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0.59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6.36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合理规范公车使用节约开支</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widowControl w:val="0"/>
        <w:numPr>
          <w:numId w:val="0"/>
        </w:numPr>
        <w:wordWrap/>
        <w:adjustRightInd w:val="0"/>
        <w:snapToGrid w:val="0"/>
        <w:spacing w:line="580" w:lineRule="exact"/>
        <w:ind w:right="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w:t>
      </w:r>
      <w:r>
        <w:rPr>
          <w:rFonts w:hint="eastAsia" w:ascii="仿宋_GB2312" w:hAnsi="Times New Roman" w:eastAsia="仿宋_GB2312" w:cs="DengXian-Regular"/>
          <w:sz w:val="32"/>
          <w:szCs w:val="32"/>
          <w:lang w:eastAsia="zh-CN"/>
        </w:rPr>
        <w:t>。</w:t>
      </w:r>
      <w:r>
        <w:rPr>
          <w:rFonts w:hint="eastAsia" w:ascii="楷体_GB2312" w:hAnsi="Times New Roman" w:eastAsia="楷体_GB2312" w:cs="DengXian-Bold"/>
          <w:b w:val="0"/>
          <w:bCs w:val="0"/>
          <w:sz w:val="32"/>
          <w:szCs w:val="32"/>
          <w:lang w:eastAsia="zh-CN"/>
        </w:rPr>
        <w:t>无增减变化，与年初预算持平、与</w:t>
      </w:r>
      <w:r>
        <w:rPr>
          <w:rFonts w:hint="eastAsia" w:ascii="楷体_GB2312" w:hAnsi="Times New Roman" w:eastAsia="楷体_GB2312" w:cs="DengXian-Bold"/>
          <w:b w:val="0"/>
          <w:bCs w:val="0"/>
          <w:sz w:val="32"/>
          <w:szCs w:val="32"/>
          <w:lang w:val="en-US" w:eastAsia="zh-CN"/>
        </w:rPr>
        <w:t>2018年度决算支出持平。</w:t>
      </w:r>
    </w:p>
    <w:p>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8.32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48.94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节约开支，业务量减少</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0.78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4.39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节约开支，业务量减少</w:t>
      </w:r>
      <w:r>
        <w:rPr>
          <w:rFonts w:hint="eastAsia" w:ascii="仿宋_GB2312" w:hAnsi="Times New Roman" w:eastAsia="仿宋_GB2312" w:cs="DengXian-Regular"/>
          <w:sz w:val="32"/>
          <w:szCs w:val="32"/>
        </w:rPr>
        <w:t>。</w:t>
      </w:r>
    </w:p>
    <w:p>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1.13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156</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0.47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29.38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业务量减少</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0.74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187.1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业务量较</w:t>
      </w:r>
      <w:r>
        <w:rPr>
          <w:rFonts w:hint="eastAsia" w:ascii="仿宋_GB2312" w:hAnsi="Times New Roman" w:eastAsia="仿宋_GB2312" w:cs="DengXian-Regular"/>
          <w:sz w:val="32"/>
          <w:szCs w:val="32"/>
          <w:lang w:val="en-US" w:eastAsia="zh-CN"/>
        </w:rPr>
        <w:t>2018年增加</w:t>
      </w:r>
      <w:r>
        <w:rPr>
          <w:rFonts w:hint="eastAsia" w:ascii="仿宋_GB2312" w:hAnsi="Times New Roman" w:eastAsia="仿宋_GB2312" w:cs="DengXian-Regular"/>
          <w:sz w:val="32"/>
          <w:szCs w:val="32"/>
        </w:rPr>
        <w:t>。</w:t>
      </w:r>
    </w:p>
    <w:p>
      <w:pPr>
        <w:widowControl w:val="0"/>
        <w:wordWrap/>
        <w:adjustRightInd w:val="0"/>
        <w:snapToGrid w:val="0"/>
        <w:spacing w:line="580" w:lineRule="exact"/>
        <w:ind w:left="0" w:leftChars="0" w:right="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widowControl w:val="0"/>
        <w:wordWrap/>
        <w:adjustRightInd w:val="0"/>
        <w:snapToGrid w:val="0"/>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我单位有2个普查专项项目支出，全国第四次全国经济普查和全国第七次投入产出调查。共涉及资金117.11万元，占一般公共预算项目支出总额的8.13%。组织对2019年度2个专项项目开展了部门评价。</w:t>
      </w:r>
    </w:p>
    <w:p>
      <w:pPr>
        <w:widowControl w:val="0"/>
        <w:numPr>
          <w:ilvl w:val="0"/>
          <w:numId w:val="3"/>
        </w:numPr>
        <w:wordWrap/>
        <w:adjustRightInd w:val="0"/>
        <w:snapToGrid w:val="0"/>
        <w:spacing w:line="580" w:lineRule="exact"/>
        <w:ind w:leftChars="200" w:right="0" w:firstLine="321" w:firstLineChars="100"/>
        <w:jc w:val="both"/>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部门决算中项目绩效自评结果。</w:t>
      </w:r>
    </w:p>
    <w:p>
      <w:pPr>
        <w:widowControl w:val="0"/>
        <w:numPr>
          <w:numId w:val="0"/>
        </w:numPr>
        <w:wordWrap/>
        <w:adjustRightInd w:val="0"/>
        <w:snapToGrid w:val="0"/>
        <w:spacing w:line="580" w:lineRule="exact"/>
        <w:ind w:leftChars="300" w:right="0"/>
        <w:jc w:val="both"/>
        <w:textAlignment w:val="auto"/>
        <w:outlineLvl w:val="9"/>
        <w:rPr>
          <w:rFonts w:hint="eastAsia" w:ascii="仿宋_GB2312" w:hAnsi="仿宋_GB2312" w:eastAsia="仿宋_GB2312" w:cs="仿宋_GB2312"/>
          <w:b/>
          <w:bCs/>
          <w:kern w:val="2"/>
          <w:sz w:val="32"/>
          <w:szCs w:val="32"/>
          <w:highlight w:val="yellow"/>
          <w:lang w:val="en-US" w:eastAsia="zh-CN" w:bidi="ar-SA"/>
        </w:rPr>
      </w:pP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全国第四次经济普查评价结果</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是财政局要求，在产出指标、效果指标两个一级指标五个二级指标进行评价。普查全市法人单位和产业活动单位指标、业务培训指标、基础满意度指标、培训效果优秀率指标都为优，完成值占比年度指标值95%以上。市级财政投入指标为良，普查支出占比财政投入65%，一是我局为节约资金，二是因普查工作尚未结束，一些经费支出需在下年才能落实。</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全国第四次经济普查项目绩效目标完成情况</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1.完成全部法人单位、产业活动单位和个体户的普查登记工作。</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2.所有工作均在规定时间节点完成。</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3.完成登记阶段督导检查6次。</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4.数据审核验收和事后质量抽查达到了国务院、省经普办的要求。</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5.按照国家和省经普办要求，开展数据评估发布工作。</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第四次经济普查项目较好地完成了2019年既定的绩效目标。</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全国第七次投入产出调查评价结果</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按照是财政局要求，在产出指标、效果指标两个一级指标五个二级指标进行评价。投入产出重点调查单位指标、投入产出典型调查单位指标、市级财政投入指标、调查资料搜集完成率指标、培训效果优秀率指标都为优，完成值占比年度指标值95%以上。 </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全国第七次投入产出调查</w:t>
      </w:r>
      <w:r>
        <w:rPr>
          <w:rFonts w:hint="eastAsia" w:ascii="仿宋_GB2312" w:hAnsi="仿宋_GB2312" w:eastAsia="仿宋_GB2312" w:cs="仿宋_GB2312"/>
          <w:b/>
          <w:bCs/>
          <w:kern w:val="2"/>
          <w:sz w:val="32"/>
          <w:szCs w:val="32"/>
          <w:lang w:val="en-US" w:eastAsia="zh-CN" w:bidi="ar-SA"/>
        </w:rPr>
        <w:t>项目绩效目标完成情况</w:t>
      </w:r>
      <w:r>
        <w:rPr>
          <w:rFonts w:hint="eastAsia" w:ascii="仿宋_GB2312" w:hAnsi="仿宋_GB2312" w:eastAsia="仿宋_GB2312" w:cs="仿宋_GB2312"/>
          <w:b w:val="0"/>
          <w:bCs w:val="0"/>
          <w:kern w:val="2"/>
          <w:sz w:val="32"/>
          <w:szCs w:val="32"/>
          <w:lang w:val="en-US" w:eastAsia="zh-CN" w:bidi="ar-SA"/>
        </w:rPr>
        <w:t xml:space="preserve">       </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1.完成投入产出调查单位的抽选与核实工作。根据《2017年河北省投入产出调查选点方案》要求和编制我市投入产出表的需要，确定全市调查单位718个，其中国家选单位87家、省选单位344家、市选单位287家。</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2.全力做好调查单位人员的业务培训。培训分12期，共有720家重点调查单位参会，参会率达到100%。培训人数达1293人。</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投入产出表是投入产出调查的最终成果，工作中我们认真学习省局编表培训教材，加强与省局沟通联系，科学有序推进编表工作，目前，我市投入产出表已通过省局审核，进入资料的排版、校对阶段。下一步，我们将根据《投入产出表》开展进一步的分析研究工作。</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4.所有工作均在规定时间节点完成。</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lang w:val="en-US" w:eastAsia="zh-CN" w:bidi="ar-SA"/>
        </w:rPr>
        <w:t>第七次投入产出调查</w:t>
      </w:r>
      <w:r>
        <w:rPr>
          <w:rFonts w:hint="eastAsia" w:ascii="仿宋_GB2312" w:hAnsi="仿宋_GB2312" w:eastAsia="仿宋_GB2312" w:cs="仿宋_GB2312"/>
          <w:b w:val="0"/>
          <w:bCs w:val="0"/>
          <w:kern w:val="2"/>
          <w:sz w:val="32"/>
          <w:szCs w:val="32"/>
          <w:lang w:val="en-US" w:eastAsia="zh-CN" w:bidi="ar-SA"/>
        </w:rPr>
        <w:t>项目较好地完成了2019年既定的绩效目标。</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3.绩效指标完成情况分析及下一步改进措施。</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一是高度重视。充分认识项目专项资金绩效评价工作的重要意义，把此项工作放在工作的首位。扎实做好预算、组织、协调和控制的每一个环节，确保该项工作落实到位。</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二是规范运行。局财务部门与市经普办加强沟通协调，早谋划，早布置，严格按照规范流程确保每一笔资金的使用都严格规范、符合要求。</w:t>
      </w:r>
    </w:p>
    <w:p>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三是强化管理。进一步落实财务制度管理办法，确实强化项目管理，进一步细化指标，量化考核，做好财务预算，切实提高资金的使用效率。</w:t>
      </w:r>
    </w:p>
    <w:p>
      <w:pPr>
        <w:keepNext/>
        <w:keepLines/>
        <w:widowControl w:val="0"/>
        <w:numPr>
          <w:numId w:val="0"/>
        </w:numPr>
        <w:wordWrap/>
        <w:snapToGrid w:val="0"/>
        <w:spacing w:line="580" w:lineRule="exact"/>
        <w:ind w:leftChars="200" w:right="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4.财政评价项目绩效评价结果。</w:t>
      </w:r>
    </w:p>
    <w:p>
      <w:pPr>
        <w:keepNext/>
        <w:keepLines/>
        <w:widowControl w:val="0"/>
        <w:numPr>
          <w:numId w:val="0"/>
        </w:numPr>
        <w:wordWrap/>
        <w:snapToGrid w:val="0"/>
        <w:spacing w:line="580" w:lineRule="exact"/>
        <w:ind w:leftChars="200" w:right="0"/>
        <w:jc w:val="both"/>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在此次评价中，本项目绩效自评情况较好，资金使用和效果达到了预期的可持续影响和社会效益。</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337.35</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38.6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正常经费支出</w:t>
      </w:r>
      <w:r>
        <w:rPr>
          <w:rFonts w:hint="eastAsia" w:ascii="仿宋_GB2312" w:hAnsi="Times New Roman" w:eastAsia="仿宋_GB2312" w:cs="DengXian-Regular"/>
          <w:sz w:val="32"/>
          <w:szCs w:val="32"/>
        </w:rPr>
        <w:t>。</w:t>
      </w:r>
    </w:p>
    <w:p>
      <w:pPr>
        <w:keepNext/>
        <w:keepLines/>
        <w:widowControl w:val="0"/>
        <w:wordWrap/>
        <w:adjustRightInd/>
        <w:snapToGrid w:val="0"/>
        <w:spacing w:line="580" w:lineRule="exact"/>
        <w:ind w:left="0" w:leftChars="0"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widowControl w:val="0"/>
        <w:wordWrap/>
        <w:adjustRightInd/>
        <w:snapToGrid w:val="0"/>
        <w:spacing w:line="580" w:lineRule="exact"/>
        <w:ind w:left="0" w:leftChars="0" w:right="0" w:firstLine="640" w:firstLineChars="200"/>
        <w:jc w:val="left"/>
        <w:textAlignment w:val="auto"/>
        <w:rPr>
          <w:rFonts w:ascii="仿宋_GB2312" w:hAnsi="Times New Roman" w:eastAsia="仿宋_GB2312" w:cs="DengXian-Regular"/>
          <w:sz w:val="32"/>
          <w:szCs w:val="32"/>
          <w:lang w:val="en-US"/>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24.3284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rPr>
        <w:t>政府采购货物支出</w:t>
      </w:r>
      <w:r>
        <w:rPr>
          <w:rFonts w:hint="eastAsia" w:ascii="仿宋_GB2312" w:hAnsi="Times New Roman" w:eastAsia="仿宋_GB2312" w:cs="DengXian-Regular"/>
          <w:sz w:val="32"/>
          <w:szCs w:val="32"/>
          <w:lang w:val="en-US" w:eastAsia="zh-CN"/>
        </w:rPr>
        <w:t>24.3284</w:t>
      </w:r>
      <w:r>
        <w:rPr>
          <w:rFonts w:ascii="仿宋_GB2312" w:hAnsi="仿宋_GB2312" w:eastAsia="仿宋_GB2312" w:cs="仿宋_GB2312"/>
          <w:color w:val="000000"/>
          <w:kern w:val="0"/>
          <w:sz w:val="32"/>
          <w:szCs w:val="32"/>
          <w:lang w:val="en-US" w:eastAsia="zh-CN"/>
        </w:rPr>
        <w:t>万元</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lang w:val="en-US" w:eastAsia="zh-CN"/>
        </w:rPr>
        <w:t>授予小微企业合同金额</w:t>
      </w:r>
      <w:r>
        <w:rPr>
          <w:rFonts w:hint="eastAsia" w:ascii="仿宋_GB2312" w:hAnsi="Times New Roman" w:eastAsia="仿宋_GB2312" w:cs="DengXian-Regular"/>
          <w:sz w:val="32"/>
          <w:szCs w:val="32"/>
          <w:lang w:val="en-US" w:eastAsia="zh-CN"/>
        </w:rPr>
        <w:t>24.3284</w:t>
      </w:r>
      <w:r>
        <w:rPr>
          <w:rFonts w:ascii="仿宋_GB2312" w:hAnsi="仿宋_GB2312" w:eastAsia="仿宋_GB2312" w:cs="仿宋_GB2312"/>
          <w:color w:val="000000"/>
          <w:kern w:val="0"/>
          <w:sz w:val="32"/>
          <w:szCs w:val="32"/>
          <w:lang w:val="en-US" w:eastAsia="zh-CN"/>
        </w:rPr>
        <w:t>万元，占政府采购支出总额的</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lang w:val="en-US" w:eastAsia="zh-CN"/>
        </w:rPr>
        <w:t>%。</w:t>
      </w:r>
    </w:p>
    <w:p>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keepNext/>
        <w:keepLines/>
        <w:widowControl w:val="0"/>
        <w:wordWrap/>
        <w:snapToGrid w:val="0"/>
        <w:spacing w:line="580" w:lineRule="exact"/>
        <w:ind w:right="0" w:firstLine="643" w:firstLineChars="200"/>
        <w:jc w:val="both"/>
        <w:textAlignment w:val="auto"/>
        <w:outlineLvl w:val="2"/>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比上年减少1辆，主要是到达使用年限，已做报废处理。</w:t>
      </w:r>
      <w:r>
        <w:rPr>
          <w:rFonts w:hint="eastAsia" w:ascii="仿宋_GB2312" w:hAnsi="Times New Roman" w:eastAsia="仿宋_GB2312" w:cs="DengXian-Regular"/>
          <w:sz w:val="32"/>
          <w:szCs w:val="32"/>
        </w:rPr>
        <w:t>其中，机要通信用车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lang w:eastAsia="zh-CN"/>
        </w:rPr>
        <w:t>实物保障领导岗位</w:t>
      </w:r>
      <w:r>
        <w:rPr>
          <w:rFonts w:hint="eastAsia" w:ascii="仿宋_GB2312" w:hAnsi="Times New Roman" w:eastAsia="仿宋_GB2312" w:cs="DengXian-Regular"/>
          <w:sz w:val="32"/>
          <w:szCs w:val="32"/>
        </w:rPr>
        <w:t>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2辆。无单位价值50万元以上通用设备，无单位价值100万元以上专用设备。</w:t>
      </w:r>
    </w:p>
    <w:p>
      <w:pPr>
        <w:keepNext/>
        <w:keepLines/>
        <w:widowControl w:val="0"/>
        <w:wordWrap/>
        <w:snapToGrid w:val="0"/>
        <w:spacing w:line="580" w:lineRule="exact"/>
        <w:ind w:right="0" w:firstLine="643" w:firstLineChars="200"/>
        <w:jc w:val="both"/>
        <w:textAlignment w:val="auto"/>
        <w:outlineLvl w:val="2"/>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kern w:val="2"/>
          <w:sz w:val="32"/>
          <w:szCs w:val="32"/>
          <w:lang w:val="en-US" w:eastAsia="zh-CN" w:bidi="ar-SA"/>
        </w:rPr>
        <w:t>（三）其他需要说明的情况</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政府性基金预算财政拨款收入支出决算及国有资本经营预算财政拨款支出决算</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表</w:t>
      </w:r>
      <w:r>
        <w:rPr>
          <w:rFonts w:hint="eastAsia" w:ascii="仿宋_GB2312" w:hAnsi="Times New Roman" w:eastAsia="仿宋_GB2312" w:cs="DengXian-Regular"/>
          <w:sz w:val="32"/>
          <w:szCs w:val="32"/>
          <w:lang w:val="en-US" w:eastAsia="zh-CN"/>
        </w:rPr>
        <w:t>08、表09</w:t>
      </w:r>
      <w:r>
        <w:rPr>
          <w:rFonts w:hint="eastAsia" w:ascii="仿宋_GB2312" w:hAnsi="Times New Roman" w:eastAsia="仿宋_GB2312" w:cs="DengXian-Regular"/>
          <w:sz w:val="32"/>
          <w:szCs w:val="32"/>
        </w:rPr>
        <w:t>表以空表列示。</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wordWrap/>
        <w:spacing w:after="0" w:line="580" w:lineRule="exact"/>
        <w:ind w:firstLine="883" w:firstLineChars="200"/>
        <w:jc w:val="left"/>
        <w:textAlignment w:val="auto"/>
        <w:sectPr>
          <w:type w:val="continuous"/>
          <w:pgSz w:w="11906" w:h="16838"/>
          <w:pgMar w:top="2098" w:right="1474" w:bottom="1984" w:left="1588" w:header="851" w:footer="992" w:gutter="0"/>
          <w:pgNumType w:fmt="numberInDash"/>
          <w:cols w:space="720" w:num="1"/>
          <w:rtlGutter w:val="0"/>
          <w:docGrid w:type="lines" w:linePitch="312"/>
        </w:sectPr>
      </w:pPr>
    </w:p>
    <w:p>
      <w:pPr>
        <w:jc w:val="center"/>
        <w:rPr>
          <w:rFonts w:hint="default" w:ascii="黑体" w:hAnsi="黑体" w:eastAsia="黑体" w:cs="黑体"/>
          <w:sz w:val="56"/>
          <w:szCs w:val="72"/>
          <w:lang w:val="en-US" w:eastAsia="zh-CN"/>
        </w:rPr>
      </w:pPr>
    </w:p>
    <w:p>
      <w:pPr>
        <w:jc w:val="center"/>
        <w:sectPr>
          <w:type w:val="continuous"/>
          <w:pgSz w:w="11906" w:h="16838"/>
          <w:pgMar w:top="2041" w:right="1531" w:bottom="2041" w:left="1531" w:header="851" w:footer="992" w:gutter="0"/>
          <w:pgNumType w:fmt="numberInDash"/>
          <w:cols w:space="720" w:num="1"/>
          <w:titlePg/>
          <w:rtlGutter w:val="0"/>
          <w:docGrid w:type="lines" w:linePitch="312"/>
        </w:sectPr>
      </w:pPr>
    </w:p>
    <w:p>
      <w:pPr>
        <w:rPr>
          <w:rFonts w:hint="default" w:ascii="黑体" w:hAnsi="黑体" w:eastAsia="黑体" w:cs="黑体"/>
          <w:sz w:val="56"/>
          <w:szCs w:val="72"/>
          <w:lang w:val="en-US" w:eastAsia="zh-CN"/>
        </w:rPr>
      </w:pPr>
      <w:r>
        <w:rPr>
          <w:rFonts w:hint="default" w:ascii="黑体" w:hAnsi="黑体" w:eastAsia="黑体" w:cs="黑体"/>
          <w:sz w:val="56"/>
          <w:szCs w:val="72"/>
          <w:lang w:val="en-US" w:eastAsia="zh-CN"/>
        </w:rPr>
        <w:br w:type="page"/>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rFonts w:ascii="等线" w:hAnsi="等线" w:eastAsia="等线" w:cs="黑体"/>
          <w:kern w:val="2"/>
          <w:sz w:val="72"/>
          <w:szCs w:val="22"/>
          <w:lang w:val="en-US" w:eastAsia="zh-CN" w:bidi="ar-SA"/>
        </w:rPr>
        <w:pict>
          <v:rect id="文本框 188" o:spid="_x0000_s1037" style="position:absolute;left:0;margin-left:-80.35pt;margin-top:34.8pt;height:263.1pt;width:613.65pt;rotation:0f;z-index:251670528;" o:ole="f" fillcolor="#FFD966" filled="t" o:preferrelative="t" stroked="t" coordsize="21600,21600">
            <v:fill type="pattern" on="t" color2="#FFFFFF" o:opacity2="100%" o:title="" focus="0%" r:id="rId22"/>
            <v:stroke weight="0.5pt" color="#FFD966" color2="#FFFFFF" opacity="100%" miterlimit="2"/>
            <v:imagedata gain="65536f" blacklevel="0f" gamma="0"/>
            <o:lock v:ext="edit" position="f" selection="f" grouping="f" rotation="f" cropping="f" text="f" aspectratio="f"/>
            <v:textbox>
              <w:txbxContent>
                <w:p>
                  <w:pPr>
                    <w:widowControl/>
                    <w:jc w:val="center"/>
                    <w:rPr>
                      <w:rFonts w:hint="default"/>
                      <w:lang w:val="en-US"/>
                    </w:rPr>
                  </w:pPr>
                  <w:r>
                    <w:rPr>
                      <w:rFonts w:hint="eastAsia" w:ascii="黑体" w:hAnsi="黑体" w:eastAsia="黑体" w:cs="黑体"/>
                      <w:color w:val="000000"/>
                      <w:sz w:val="90"/>
                      <w:szCs w:val="90"/>
                      <w:lang w:val="en-US" w:eastAsia="zh-CN"/>
                    </w:rPr>
                    <w:t>第三部分 相关名词解释</w:t>
                  </w:r>
                </w:p>
              </w:txbxContent>
            </v:textbox>
          </v:rect>
        </w:pict>
      </w:r>
    </w:p>
    <w:p>
      <w:pPr>
        <w:rPr>
          <w:rFonts w:hint="default" w:ascii="等线" w:hAnsi="等线" w:eastAsia="等线" w:cs="黑体"/>
          <w:kern w:val="2"/>
          <w:sz w:val="21"/>
          <w:szCs w:val="22"/>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tabs>
          <w:tab w:val="left" w:pos="886"/>
        </w:tabs>
        <w:jc w:val="left"/>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pgNumType w:fmt="numberInDash"/>
          <w:cols w:space="720" w:num="1"/>
          <w:titlePg/>
          <w:rtlGutter w:val="0"/>
          <w:docGrid w:type="lines" w:linePitch="312"/>
        </w:sectPr>
      </w:pPr>
    </w:p>
    <w:p>
      <w:pPr>
        <w:spacing w:after="160" w:line="480" w:lineRule="auto"/>
        <w:rPr>
          <w:rFonts w:ascii="仿宋_GB2312" w:hAnsi="宋体" w:eastAsia="仿宋_GB2312" w:cs="MS-UIGothic,Bold"/>
          <w:bCs/>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hint="eastAsia" w:ascii="仿宋_GB2312" w:hAnsi="宋体" w:eastAsia="仿宋_GB2312" w:cs="Times New Roman"/>
          <w:b/>
          <w:bCs/>
          <w:color w:val="000000"/>
          <w:kern w:val="0"/>
          <w:sz w:val="32"/>
          <w:szCs w:val="32"/>
        </w:rPr>
      </w:pP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val="0"/>
        <w:wordWrap/>
        <w:adjustRightInd/>
        <w:snapToGrid w:val="0"/>
        <w:spacing w:line="560" w:lineRule="exact"/>
        <w:ind w:left="0" w:leftChars="0" w:right="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widowControl w:val="0"/>
        <w:wordWrap/>
        <w:adjustRightInd/>
        <w:snapToGrid w:val="0"/>
        <w:spacing w:line="560" w:lineRule="exact"/>
        <w:ind w:left="0" w:leftChars="0" w:right="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hint="eastAsia" w:ascii="仿宋_GB2312" w:hAnsi="Cambria" w:eastAsia="仿宋_GB2312" w:cs="ArialUnicodeMS"/>
          <w:kern w:val="0"/>
          <w:sz w:val="32"/>
          <w:szCs w:val="32"/>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lang w:val="en-US" w:eastAsia="zh-CN"/>
        </w:rPr>
        <w:t>可分为财政拨款、财政性资金基本保证、财政性资金定额或定项补助、财政性资金零补助四类。</w:t>
      </w:r>
    </w:p>
    <w:p>
      <w:pPr>
        <w:rPr>
          <w:rFonts w:hint="eastAsia" w:ascii="等线" w:hAnsi="等线" w:eastAsia="等线" w:cs="黑体"/>
          <w:kern w:val="2"/>
          <w:sz w:val="21"/>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235"/>
        </w:tabs>
        <w:jc w:val="left"/>
        <w:sectPr>
          <w:headerReference r:id="rId17" w:type="default"/>
          <w:type w:val="continuous"/>
          <w:pgSz w:w="11906" w:h="16838"/>
          <w:pgMar w:top="2098" w:right="1474" w:bottom="1985" w:left="1588" w:header="851" w:footer="992" w:gutter="0"/>
          <w:pgNumType w:fmt="numberInDash"/>
          <w:cols w:space="720" w:num="1"/>
          <w:docGrid w:type="lines" w:linePitch="312"/>
        </w:sectPr>
      </w:pPr>
      <w:r>
        <w:rPr>
          <w:rFonts w:ascii="等线" w:hAnsi="等线" w:eastAsia="等线" w:cs="黑体"/>
          <w:kern w:val="2"/>
          <w:sz w:val="72"/>
          <w:szCs w:val="22"/>
          <w:lang w:val="en-US" w:eastAsia="zh-CN" w:bidi="ar-SA"/>
        </w:rPr>
        <w:pict>
          <v:rect id="文本框 229" o:spid="_x0000_s1027" style="position:absolute;left:0;margin-left:-81.95pt;margin-top:135.85pt;height:263.1pt;width:613.65pt;rotation:0f;z-index:251660288;" o:ole="f" fillcolor="#FFD966" filled="t" o:preferrelative="t" stroked="t" coordsize="21600,21600">
            <v:fill type="pattern" on="t" color2="#FFFFFF" o:opacity2="100%" o:title="" focus="0%" r:id="rId22"/>
            <v:stroke weight="0.5pt" color="#FFD966" color2="#FFFFFF" opacity="100%" miterlimit="2"/>
            <v:imagedata gain="65536f" blacklevel="0f" gamma="0"/>
            <o:lock v:ext="edit" position="f" selection="f" grouping="f" rotation="f" cropping="f" text="f" aspectratio="f"/>
            <v:textbox>
              <w:txbxContent>
                <w:p>
                  <w:pPr>
                    <w:widowControl/>
                    <w:jc w:val="center"/>
                    <w:rPr>
                      <w:rFonts w:hint="eastAsia"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 xml:space="preserve">第四部分 </w:t>
                  </w:r>
                </w:p>
                <w:p>
                  <w:pPr>
                    <w:widowControl/>
                    <w:jc w:val="center"/>
                    <w:rPr>
                      <w:rFonts w:hint="default"/>
                      <w:lang w:val="en-US"/>
                    </w:rPr>
                  </w:pPr>
                  <w:r>
                    <w:rPr>
                      <w:rFonts w:hint="eastAsia" w:ascii="黑体" w:hAnsi="黑体" w:eastAsia="黑体" w:cs="黑体"/>
                      <w:color w:val="000000"/>
                      <w:sz w:val="90"/>
                      <w:szCs w:val="90"/>
                      <w:lang w:val="en-US" w:eastAsia="zh-CN"/>
                    </w:rPr>
                    <w:t>2019年度部门决算报表</w:t>
                  </w:r>
                </w:p>
              </w:txbxContent>
            </v:textbox>
          </v:rect>
        </w:pict>
      </w:r>
    </w:p>
    <w:p>
      <w:pPr>
        <w:tabs>
          <w:tab w:val="left" w:pos="886"/>
        </w:tabs>
        <w:jc w:val="left"/>
        <w:rPr>
          <w:rFonts w:hint="default"/>
          <w:lang w:val="en-US" w:eastAsia="zh-CN"/>
        </w:rPr>
      </w:pPr>
    </w:p>
    <w:p>
      <w:pPr>
        <w:jc w:val="left"/>
        <w:rPr>
          <w:rFonts w:hint="default"/>
          <w:lang w:val="en-US" w:eastAsia="zh-CN"/>
        </w:rPr>
      </w:pPr>
    </w:p>
    <w:tbl>
      <w:tblPr>
        <w:tblpPr w:leftFromText="180" w:rightFromText="180" w:vertAnchor="text" w:horzAnchor="page" w:tblpXSpec="center" w:tblpY="31"/>
        <w:tblOverlap w:val="never"/>
        <w:tblW w:w="9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6"/>
        <w:gridCol w:w="731"/>
        <w:gridCol w:w="943"/>
        <w:gridCol w:w="3075"/>
        <w:gridCol w:w="570"/>
        <w:gridCol w:w="118"/>
        <w:gridCol w:w="844"/>
      </w:tblGrid>
      <w:tr>
        <w:trPr>
          <w:trHeight w:val="489" w:hRule="atLeast"/>
          <w:jc w:val="center"/>
        </w:trPr>
        <w:tc>
          <w:tcPr>
            <w:tcW w:w="9517" w:type="dxa"/>
            <w:gridSpan w:val="7"/>
            <w:tcBorders>
              <w:top w:val="nil"/>
              <w:left w:val="nil"/>
              <w:bottom w:val="nil"/>
              <w:right w:val="nil"/>
            </w:tcBorders>
            <w:tcMar>
              <w:top w:w="15" w:type="dxa"/>
              <w:left w:w="15" w:type="dxa"/>
              <w:right w:w="15" w:type="dxa"/>
            </w:tcMar>
            <w:vAlign w:val="bottom"/>
          </w:tcPr>
          <w:p>
            <w:pPr>
              <w:widowControl w:val="0"/>
              <w:wordWrap/>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收入支出决算总表</w:t>
            </w:r>
          </w:p>
        </w:tc>
      </w:tr>
      <w:tr>
        <w:trPr>
          <w:trHeight w:val="205" w:hRule="atLeast"/>
          <w:jc w:val="center"/>
        </w:trPr>
        <w:tc>
          <w:tcPr>
            <w:tcW w:w="3236"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43"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4607"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rPr>
          <w:trHeight w:val="421" w:hRule="atLeast"/>
          <w:jc w:val="center"/>
        </w:trPr>
        <w:tc>
          <w:tcPr>
            <w:tcW w:w="3236"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rPr>
              <w:t>唐山市统计局</w:t>
            </w:r>
          </w:p>
        </w:tc>
        <w:tc>
          <w:tcPr>
            <w:tcW w:w="73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43"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4607"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284" w:hRule="atLeast"/>
          <w:jc w:val="center"/>
        </w:trPr>
        <w:tc>
          <w:tcPr>
            <w:tcW w:w="49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收入</w:t>
            </w:r>
          </w:p>
        </w:tc>
        <w:tc>
          <w:tcPr>
            <w:tcW w:w="4607"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支出</w:t>
            </w:r>
          </w:p>
        </w:tc>
      </w:tr>
      <w:tr>
        <w:trPr>
          <w:trHeight w:val="77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6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6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94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1,714.79</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1,439.72</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182"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三、上级补助收入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四、事业收入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五、经营收入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六、附属单位上缴收入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七、其他收入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七、文化旅游体育与传媒支出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八、社会保障和就业支出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36</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九、卫生健康支出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37</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十、节能环保支出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十一、城乡社区支出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十二、农林水支出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十三、交通运输支出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41</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十四、资源勘探信息等支出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42</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十五、商业服务业等支出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43</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十六、金融支出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44</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十七、援助其他地区支出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十八、自然资源海洋气象等支出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46</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十九、住房保障支出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47</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二十、粮油物资储备支出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48</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二十一、灾害防治及应急管理支出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49</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二十二、其他支出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二十四、债务付息支出</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51</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rPr>
              <w:t>1714.79</w:t>
            </w: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52</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1,729.17</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用事业基金弥补收支差额</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结余分配</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53</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年初结转和结余</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178.53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54</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164.15</w:t>
            </w: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27</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55</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p>
        </w:tc>
      </w:tr>
      <w:tr>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1893.32　</w:t>
            </w:r>
          </w:p>
        </w:tc>
        <w:tc>
          <w:tcPr>
            <w:tcW w:w="30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56</w:t>
            </w:r>
          </w:p>
        </w:tc>
        <w:tc>
          <w:tcPr>
            <w:tcW w:w="962"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1,893.32</w:t>
            </w:r>
          </w:p>
        </w:tc>
      </w:tr>
      <w:tr>
        <w:trPr>
          <w:trHeight w:val="213" w:hRule="atLeast"/>
          <w:jc w:val="center"/>
        </w:trPr>
        <w:tc>
          <w:tcPr>
            <w:tcW w:w="9517"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注：本表反映部门本年度的总收支和年末结转结余情况。</w:t>
            </w:r>
          </w:p>
          <w:p>
            <w:pPr>
              <w:widowControl/>
              <w:jc w:val="left"/>
              <w:textAlignment w:val="center"/>
              <w:rPr>
                <w:rFonts w:hint="eastAsia" w:ascii="宋体" w:hAnsi="宋体" w:eastAsia="宋体" w:cs="宋体"/>
                <w:i w:val="0"/>
                <w:color w:val="000000"/>
                <w:kern w:val="0"/>
                <w:sz w:val="22"/>
                <w:szCs w:val="22"/>
                <w:u w:val="none"/>
                <w:lang w:val="en-US" w:eastAsia="zh-CN"/>
              </w:rPr>
            </w:pPr>
          </w:p>
          <w:p>
            <w:pPr>
              <w:widowControl/>
              <w:jc w:val="left"/>
              <w:textAlignment w:val="center"/>
              <w:rPr>
                <w:rFonts w:hint="eastAsia" w:ascii="宋体" w:hAnsi="宋体" w:eastAsia="宋体" w:cs="宋体"/>
                <w:i w:val="0"/>
                <w:color w:val="000000"/>
                <w:kern w:val="0"/>
                <w:sz w:val="22"/>
                <w:szCs w:val="22"/>
                <w:u w:val="none"/>
                <w:lang w:val="en-US" w:eastAsia="zh-CN"/>
              </w:rPr>
            </w:pPr>
          </w:p>
        </w:tc>
      </w:tr>
    </w:tbl>
    <w:tbl>
      <w:tblPr>
        <w:tblW w:w="9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8"/>
        <w:gridCol w:w="116"/>
        <w:gridCol w:w="124"/>
        <w:gridCol w:w="240"/>
        <w:gridCol w:w="1535"/>
        <w:gridCol w:w="913"/>
        <w:gridCol w:w="32"/>
        <w:gridCol w:w="988"/>
        <w:gridCol w:w="32"/>
        <w:gridCol w:w="868"/>
        <w:gridCol w:w="32"/>
        <w:gridCol w:w="691"/>
        <w:gridCol w:w="32"/>
        <w:gridCol w:w="968"/>
        <w:gridCol w:w="32"/>
        <w:gridCol w:w="968"/>
        <w:gridCol w:w="1001"/>
        <w:gridCol w:w="32"/>
      </w:tblGrid>
      <w:tr>
        <w:trPr>
          <w:gridAfter w:val="1"/>
          <w:wAfter w:w="32" w:type="dxa"/>
          <w:trHeight w:val="670" w:hRule="atLeast"/>
          <w:jc w:val="center"/>
        </w:trPr>
        <w:tc>
          <w:tcPr>
            <w:tcW w:w="9580" w:type="dxa"/>
            <w:gridSpan w:val="17"/>
            <w:tcBorders>
              <w:top w:val="nil"/>
              <w:left w:val="nil"/>
              <w:bottom w:val="nil"/>
              <w:right w:val="nil"/>
            </w:tcBorders>
            <w:tcMar>
              <w:top w:w="15" w:type="dxa"/>
              <w:left w:w="15" w:type="dxa"/>
              <w:right w:w="15" w:type="dxa"/>
            </w:tcMar>
            <w:vAlign w:val="bottom"/>
          </w:tcPr>
          <w:p>
            <w:pPr>
              <w:widowControl/>
              <w:jc w:val="center"/>
              <w:textAlignment w:val="bottom"/>
              <w:rPr>
                <w:rFonts w:hint="eastAsia" w:ascii="黑体" w:hAnsi="宋体" w:eastAsia="黑体" w:cs="黑体"/>
                <w:i w:val="0"/>
                <w:color w:val="000000"/>
                <w:kern w:val="0"/>
                <w:sz w:val="32"/>
                <w:szCs w:val="32"/>
                <w:u w:val="none"/>
                <w:lang w:val="en-US" w:eastAsia="zh-CN"/>
              </w:rPr>
            </w:pPr>
          </w:p>
          <w:p>
            <w:pPr>
              <w:widowControl/>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收入决算表</w:t>
            </w:r>
          </w:p>
        </w:tc>
      </w:tr>
      <w:tr>
        <w:trPr>
          <w:trHeight w:val="357" w:hRule="atLeast"/>
          <w:jc w:val="center"/>
        </w:trPr>
        <w:tc>
          <w:tcPr>
            <w:tcW w:w="1008"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240"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3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45"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020"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00"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23"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000"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001"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公开02表</w:t>
            </w:r>
          </w:p>
        </w:tc>
      </w:tr>
      <w:tr>
        <w:trPr>
          <w:trHeight w:val="357" w:hRule="atLeast"/>
          <w:jc w:val="center"/>
        </w:trPr>
        <w:tc>
          <w:tcPr>
            <w:tcW w:w="3023" w:type="dxa"/>
            <w:gridSpan w:val="5"/>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rPr>
              <w:t>唐山市统计局</w:t>
            </w:r>
          </w:p>
        </w:tc>
        <w:tc>
          <w:tcPr>
            <w:tcW w:w="945"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020"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00"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23"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3001" w:type="dxa"/>
            <w:gridSpan w:val="5"/>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gridAfter w:val="1"/>
          <w:wAfter w:w="32" w:type="dxa"/>
          <w:trHeight w:val="385" w:hRule="atLeast"/>
          <w:jc w:val="center"/>
        </w:trPr>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91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本年收入合计</w:t>
            </w:r>
          </w:p>
        </w:tc>
        <w:tc>
          <w:tcPr>
            <w:tcW w:w="102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财政拨款收入</w:t>
            </w:r>
          </w:p>
        </w:tc>
        <w:tc>
          <w:tcPr>
            <w:tcW w:w="90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上级补助收入</w:t>
            </w:r>
          </w:p>
        </w:tc>
        <w:tc>
          <w:tcPr>
            <w:tcW w:w="723"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事业收入</w:t>
            </w:r>
          </w:p>
        </w:tc>
        <w:tc>
          <w:tcPr>
            <w:tcW w:w="100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经营收入</w:t>
            </w:r>
          </w:p>
        </w:tc>
        <w:tc>
          <w:tcPr>
            <w:tcW w:w="100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附属单位上缴收入</w:t>
            </w:r>
          </w:p>
        </w:tc>
        <w:tc>
          <w:tcPr>
            <w:tcW w:w="10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其他收入</w:t>
            </w:r>
          </w:p>
        </w:tc>
      </w:tr>
      <w:tr>
        <w:trPr>
          <w:gridAfter w:val="1"/>
          <w:wAfter w:w="32" w:type="dxa"/>
          <w:trHeight w:val="380" w:hRule="atLeast"/>
          <w:jc w:val="center"/>
        </w:trPr>
        <w:tc>
          <w:tcPr>
            <w:tcW w:w="1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2015"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3"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gridAfter w:val="1"/>
          <w:wAfter w:w="32" w:type="dxa"/>
          <w:trHeight w:val="380" w:hRule="atLeast"/>
          <w:jc w:val="center"/>
        </w:trPr>
        <w:tc>
          <w:tcPr>
            <w:tcW w:w="1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5"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3"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gridAfter w:val="1"/>
          <w:wAfter w:w="32" w:type="dxa"/>
          <w:trHeight w:val="380" w:hRule="atLeast"/>
          <w:jc w:val="center"/>
        </w:trPr>
        <w:tc>
          <w:tcPr>
            <w:tcW w:w="1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5"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3"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302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r>
      <w:tr>
        <w:trPr>
          <w:gridAfter w:val="1"/>
          <w:wAfter w:w="32" w:type="dxa"/>
          <w:trHeight w:val="385" w:hRule="atLeast"/>
          <w:jc w:val="center"/>
        </w:trPr>
        <w:tc>
          <w:tcPr>
            <w:tcW w:w="302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r>
              <w:rPr>
                <w:rFonts w:hint="eastAsia"/>
              </w:rPr>
              <w:t>1714.79</w:t>
            </w:r>
          </w:p>
        </w:tc>
        <w:tc>
          <w:tcPr>
            <w:tcW w:w="102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r>
              <w:rPr>
                <w:rFonts w:hint="eastAsia"/>
              </w:rPr>
              <w:t>1714.79</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一般公共服务支出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1,407.57</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1,407.57</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统计信息事务</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1,407.57</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1,407.57</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2010501</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行政运行</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1,020.83</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1,020.83</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2010502</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一般行政管理事务</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29.50</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29.50</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2010505</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专项统计业务</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117.47</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117.47</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2010507</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专项普查活动</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100.00</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100.00</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2010550</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事业运行</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139.77</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139.77</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教育支出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38.62</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38.62</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进修及培训</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38.62</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38.62</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2050803</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培训支出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38.62</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38.62</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社会保障和就业支出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99.89</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99.89</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行政事业单位离退休</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99.89</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99.89</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2080505</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机关事业单位基本养老保险缴费支出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99.89</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99.89</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卫生健康支出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105.73</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105.73</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行政事业单位医疗</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105.73</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105.73</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2101101</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行政单位医疗</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95.42</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95.42</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2101102</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事业单位医疗</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10.31</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10.31</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住房保障支出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w:t>
            </w:r>
          </w:p>
        </w:tc>
        <w:tc>
          <w:tcPr>
            <w:tcW w:w="1899"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住房改革支出</w:t>
            </w:r>
          </w:p>
        </w:tc>
        <w:tc>
          <w:tcPr>
            <w:tcW w:w="913"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1020"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gridAfter w:val="1"/>
          <w:wAfter w:w="32" w:type="dxa"/>
          <w:trHeight w:val="385" w:hRule="atLeast"/>
          <w:jc w:val="center"/>
        </w:trPr>
        <w:tc>
          <w:tcPr>
            <w:tcW w:w="1124" w:type="dxa"/>
            <w:gridSpan w:val="2"/>
            <w:tcBorders>
              <w:top w:val="nil"/>
              <w:left w:val="nil"/>
              <w:bottom w:val="nil"/>
              <w:right w:val="nil"/>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2210201</w:t>
            </w:r>
          </w:p>
        </w:tc>
        <w:tc>
          <w:tcPr>
            <w:tcW w:w="1899" w:type="dxa"/>
            <w:gridSpan w:val="3"/>
            <w:tcBorders>
              <w:top w:val="nil"/>
              <w:left w:val="nil"/>
              <w:bottom w:val="nil"/>
              <w:right w:val="nil"/>
            </w:tcBorders>
            <w:tcMar>
              <w:top w:w="15" w:type="dxa"/>
              <w:left w:w="15" w:type="dxa"/>
              <w:right w:w="15" w:type="dxa"/>
            </w:tcMar>
            <w:textDirection w:val="lrTb"/>
            <w:vAlign w:val="center"/>
          </w:tcPr>
          <w:p>
            <w:pPr>
              <w:autoSpaceDN w:val="0"/>
              <w:jc w:val="left"/>
              <w:textAlignment w:val="center"/>
            </w:pPr>
            <w:r>
              <w:rPr>
                <w:rFonts w:hint="default" w:ascii="宋体" w:hAnsi="宋体" w:eastAsia="宋体"/>
                <w:b w:val="0"/>
                <w:i w:val="0"/>
                <w:color w:val="000000"/>
                <w:sz w:val="22"/>
                <w:u w:val="none"/>
                <w:lang w:eastAsia="zh-CN"/>
              </w:rPr>
              <w:t xml:space="preserve">  住房公积金</w:t>
            </w:r>
          </w:p>
        </w:tc>
        <w:tc>
          <w:tcPr>
            <w:tcW w:w="913" w:type="dxa"/>
            <w:tcBorders>
              <w:top w:val="nil"/>
              <w:left w:val="nil"/>
              <w:bottom w:val="nil"/>
              <w:right w:val="nil"/>
            </w:tcBorders>
            <w:tcMar>
              <w:top w:w="15" w:type="dxa"/>
              <w:left w:w="15" w:type="dxa"/>
              <w:right w:w="15" w:type="dxa"/>
            </w:tcMar>
            <w:textDirection w:val="lrTb"/>
            <w:vAlign w:val="center"/>
          </w:tcPr>
          <w:p>
            <w:pPr>
              <w:autoSpaceDN w:val="0"/>
              <w:jc w:val="right"/>
              <w:textAlignment w:val="center"/>
            </w:pPr>
            <w:r>
              <w:rPr>
                <w:rFonts w:hint="default" w:ascii="宋体" w:hAnsi="宋体" w:eastAsia="宋体"/>
                <w:b w:val="0"/>
                <w:i w:val="0"/>
                <w:color w:val="000000"/>
                <w:sz w:val="22"/>
                <w:u w:val="none"/>
                <w:lang w:eastAsia="zh-CN"/>
              </w:rPr>
              <w:t>62.98</w:t>
            </w:r>
          </w:p>
        </w:tc>
        <w:tc>
          <w:tcPr>
            <w:tcW w:w="1020" w:type="dxa"/>
            <w:gridSpan w:val="2"/>
            <w:tcBorders>
              <w:top w:val="nil"/>
              <w:left w:val="nil"/>
              <w:bottom w:val="nil"/>
              <w:right w:val="nil"/>
            </w:tcBorders>
            <w:tcMar>
              <w:top w:w="15" w:type="dxa"/>
              <w:left w:w="15" w:type="dxa"/>
              <w:right w:w="15" w:type="dxa"/>
            </w:tcMar>
            <w:textDirection w:val="lrTb"/>
            <w:vAlign w:val="center"/>
          </w:tcPr>
          <w:p>
            <w:pPr>
              <w:autoSpaceDN w:val="0"/>
              <w:jc w:val="right"/>
              <w:textAlignment w:val="center"/>
            </w:pPr>
            <w:r>
              <w:rPr>
                <w:rFonts w:hint="default" w:ascii="宋体" w:hAnsi="宋体" w:eastAsia="宋体"/>
                <w:b w:val="0"/>
                <w:i w:val="0"/>
                <w:color w:val="000000"/>
                <w:sz w:val="22"/>
                <w:u w:val="none"/>
                <w:lang w:eastAsia="zh-CN"/>
              </w:rPr>
              <w:t>62.98</w:t>
            </w:r>
          </w:p>
        </w:tc>
        <w:tc>
          <w:tcPr>
            <w:tcW w:w="4624" w:type="dxa"/>
            <w:gridSpan w:val="9"/>
            <w:tcBorders>
              <w:top w:val="nil"/>
              <w:left w:val="nil"/>
              <w:bottom w:val="nil"/>
              <w:right w:val="nil"/>
            </w:tcBorders>
            <w:tcMar>
              <w:top w:w="15" w:type="dxa"/>
              <w:left w:w="15" w:type="dxa"/>
              <w:right w:w="15" w:type="dxa"/>
            </w:tcMar>
            <w:vAlign w:val="center"/>
          </w:tcPr>
          <w:p>
            <w:pPr>
              <w:widowControl/>
              <w:jc w:val="left"/>
              <w:textAlignment w:val="center"/>
            </w:pPr>
          </w:p>
        </w:tc>
      </w:tr>
    </w:tbl>
    <w:p>
      <w:pPr>
        <w:jc w:val="left"/>
        <w:rPr>
          <w:rFonts w:hint="default"/>
          <w:lang w:val="en-US" w:eastAsia="zh-CN"/>
        </w:rPr>
      </w:pPr>
    </w:p>
    <w:p>
      <w:pPr>
        <w:jc w:val="left"/>
        <w:rPr>
          <w:rFonts w:hint="default"/>
          <w:lang w:val="en-US" w:eastAsia="zh-CN"/>
        </w:rPr>
      </w:pPr>
    </w:p>
    <w:p>
      <w:pPr>
        <w:jc w:val="left"/>
        <w:rPr>
          <w:rFonts w:hint="default"/>
          <w:lang w:val="en-US" w:eastAsia="zh-CN"/>
        </w:rPr>
      </w:pPr>
    </w:p>
    <w:tbl>
      <w:tblPr>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1"/>
        <w:gridCol w:w="53"/>
        <w:gridCol w:w="111"/>
        <w:gridCol w:w="1636"/>
        <w:gridCol w:w="1035"/>
        <w:gridCol w:w="1010"/>
        <w:gridCol w:w="1161"/>
        <w:gridCol w:w="1161"/>
        <w:gridCol w:w="1161"/>
        <w:gridCol w:w="1411"/>
      </w:tblGrid>
      <w:tr>
        <w:trPr>
          <w:trHeight w:val="612" w:hRule="atLeast"/>
          <w:jc w:val="center"/>
        </w:trPr>
        <w:tc>
          <w:tcPr>
            <w:tcW w:w="968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支出决算表</w:t>
            </w:r>
          </w:p>
        </w:tc>
      </w:tr>
      <w:tr>
        <w:trPr>
          <w:trHeight w:val="313" w:hRule="atLeast"/>
          <w:jc w:val="center"/>
        </w:trPr>
        <w:tc>
          <w:tcPr>
            <w:tcW w:w="941"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636"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01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公开03表</w:t>
            </w:r>
          </w:p>
        </w:tc>
      </w:tr>
      <w:tr>
        <w:trPr>
          <w:trHeight w:val="313" w:hRule="atLeast"/>
          <w:jc w:val="center"/>
        </w:trPr>
        <w:tc>
          <w:tcPr>
            <w:tcW w:w="2741" w:type="dxa"/>
            <w:gridSpan w:val="4"/>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rPr>
              <w:t>唐山市统计局</w:t>
            </w:r>
          </w:p>
        </w:tc>
        <w:tc>
          <w:tcPr>
            <w:tcW w:w="103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01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323" w:hRule="atLeast"/>
          <w:jc w:val="center"/>
        </w:trPr>
        <w:tc>
          <w:tcPr>
            <w:tcW w:w="274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03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101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对附属单位补助支出</w:t>
            </w:r>
          </w:p>
        </w:tc>
      </w:tr>
      <w:tr>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63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23" w:hRule="atLeast"/>
          <w:jc w:val="center"/>
        </w:trPr>
        <w:tc>
          <w:tcPr>
            <w:tcW w:w="274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r>
      <w:tr>
        <w:trPr>
          <w:trHeight w:val="323" w:hRule="atLeast"/>
          <w:jc w:val="center"/>
        </w:trPr>
        <w:tc>
          <w:tcPr>
            <w:tcW w:w="274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i w:val="0"/>
                <w:color w:val="000000"/>
                <w:sz w:val="22"/>
                <w:u w:val="none"/>
                <w:lang w:eastAsia="zh-CN"/>
              </w:rPr>
              <w:t>1,729.17</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i w:val="0"/>
                <w:color w:val="000000"/>
                <w:sz w:val="22"/>
                <w:u w:val="none"/>
                <w:lang w:eastAsia="zh-CN"/>
              </w:rPr>
              <w:t>1,608.73</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i w:val="0"/>
                <w:color w:val="000000"/>
                <w:sz w:val="22"/>
                <w:u w:val="none"/>
                <w:lang w:eastAsia="zh-CN"/>
              </w:rPr>
              <w:t>120.44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一般公共服务支出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1,439.72</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1,319.28</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120.44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统计信息事务</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1,439.72</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1,319.28</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120.44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2010501</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行政运行</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1,021.60</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1,021.60</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2010502</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一般行政管理事务</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27.62</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27.62</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2010505</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专项统计业务</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115.01</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115.01</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2010507</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专项普查活动</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117.11</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117.11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2010550</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事业运行</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140.90</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140.90</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2010599</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其他统计信息事务支出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17.47</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14.14</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3.33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教育支出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进修及培训</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2050803</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培训支出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社会保障和就业支出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行政事业单位离退休</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2080505</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机关事业单位基本养老保险缴费支出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卫生健康支出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行政事业单位医疗</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2101101</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行政单位医疗</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94.59</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94.59</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2101102</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事业单位医疗</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10.35</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10.35</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住房保障支出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w:t>
            </w:r>
          </w:p>
        </w:tc>
        <w:tc>
          <w:tcPr>
            <w:tcW w:w="1800"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住房改革支出</w:t>
            </w:r>
          </w:p>
        </w:tc>
        <w:tc>
          <w:tcPr>
            <w:tcW w:w="103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101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1161"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23" w:hRule="atLeast"/>
          <w:jc w:val="center"/>
        </w:trPr>
        <w:tc>
          <w:tcPr>
            <w:tcW w:w="941" w:type="dxa"/>
            <w:tcBorders>
              <w:top w:val="nil"/>
              <w:left w:val="nil"/>
              <w:bottom w:val="nil"/>
              <w:right w:val="nil"/>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2210201</w:t>
            </w:r>
          </w:p>
        </w:tc>
        <w:tc>
          <w:tcPr>
            <w:tcW w:w="1800" w:type="dxa"/>
            <w:gridSpan w:val="3"/>
            <w:tcBorders>
              <w:top w:val="nil"/>
              <w:left w:val="nil"/>
              <w:bottom w:val="nil"/>
              <w:right w:val="nil"/>
            </w:tcBorders>
            <w:tcMar>
              <w:top w:w="15" w:type="dxa"/>
              <w:left w:w="15" w:type="dxa"/>
              <w:right w:w="15" w:type="dxa"/>
            </w:tcMar>
            <w:textDirection w:val="lrTb"/>
            <w:vAlign w:val="center"/>
          </w:tcPr>
          <w:p>
            <w:pPr>
              <w:autoSpaceDN w:val="0"/>
              <w:jc w:val="left"/>
              <w:textAlignment w:val="center"/>
            </w:pPr>
            <w:r>
              <w:rPr>
                <w:rFonts w:hint="default" w:ascii="宋体" w:hAnsi="宋体" w:eastAsia="宋体"/>
                <w:b w:val="0"/>
                <w:i w:val="0"/>
                <w:color w:val="000000"/>
                <w:sz w:val="22"/>
                <w:u w:val="none"/>
                <w:lang w:eastAsia="zh-CN"/>
              </w:rPr>
              <w:t>住房公积金</w:t>
            </w:r>
          </w:p>
        </w:tc>
        <w:tc>
          <w:tcPr>
            <w:tcW w:w="1035" w:type="dxa"/>
            <w:tcBorders>
              <w:top w:val="nil"/>
              <w:left w:val="nil"/>
              <w:bottom w:val="nil"/>
              <w:right w:val="nil"/>
            </w:tcBorders>
            <w:tcMar>
              <w:top w:w="15" w:type="dxa"/>
              <w:left w:w="15" w:type="dxa"/>
              <w:right w:w="15" w:type="dxa"/>
            </w:tcMar>
            <w:textDirection w:val="lrTb"/>
            <w:vAlign w:val="center"/>
          </w:tcPr>
          <w:p>
            <w:pPr>
              <w:autoSpaceDN w:val="0"/>
              <w:jc w:val="right"/>
              <w:textAlignment w:val="center"/>
            </w:pPr>
            <w:r>
              <w:rPr>
                <w:rFonts w:hint="default" w:ascii="宋体" w:hAnsi="宋体" w:eastAsia="宋体"/>
                <w:b w:val="0"/>
                <w:i w:val="0"/>
                <w:color w:val="000000"/>
                <w:sz w:val="22"/>
                <w:u w:val="none"/>
                <w:lang w:eastAsia="zh-CN"/>
              </w:rPr>
              <w:t>62.98</w:t>
            </w:r>
          </w:p>
        </w:tc>
        <w:tc>
          <w:tcPr>
            <w:tcW w:w="1010" w:type="dxa"/>
            <w:tcBorders>
              <w:top w:val="nil"/>
              <w:left w:val="nil"/>
              <w:bottom w:val="nil"/>
              <w:right w:val="nil"/>
            </w:tcBorders>
            <w:tcMar>
              <w:top w:w="15" w:type="dxa"/>
              <w:left w:w="15" w:type="dxa"/>
              <w:right w:w="15" w:type="dxa"/>
            </w:tcMar>
            <w:textDirection w:val="lrTb"/>
            <w:vAlign w:val="center"/>
          </w:tcPr>
          <w:p>
            <w:pPr>
              <w:autoSpaceDN w:val="0"/>
              <w:jc w:val="right"/>
              <w:textAlignment w:val="center"/>
            </w:pPr>
            <w:r>
              <w:rPr>
                <w:rFonts w:hint="default" w:ascii="宋体" w:hAnsi="宋体" w:eastAsia="宋体"/>
                <w:b w:val="0"/>
                <w:i w:val="0"/>
                <w:color w:val="000000"/>
                <w:sz w:val="22"/>
                <w:u w:val="none"/>
                <w:lang w:eastAsia="zh-CN"/>
              </w:rPr>
              <w:t>62.98</w:t>
            </w:r>
          </w:p>
        </w:tc>
        <w:tc>
          <w:tcPr>
            <w:tcW w:w="1161" w:type="dxa"/>
            <w:tcBorders>
              <w:top w:val="nil"/>
              <w:left w:val="nil"/>
              <w:bottom w:val="nil"/>
              <w:right w:val="nil"/>
            </w:tcBorders>
            <w:tcMar>
              <w:top w:w="15" w:type="dxa"/>
              <w:left w:w="15" w:type="dxa"/>
              <w:right w:w="15" w:type="dxa"/>
            </w:tcMar>
            <w:textDirection w:val="lrTb"/>
            <w:vAlign w:val="center"/>
          </w:tcPr>
          <w:p>
            <w:pPr>
              <w:autoSpaceDN w:val="0"/>
              <w:jc w:val="right"/>
              <w:textAlignment w:val="center"/>
            </w:pPr>
            <w:r>
              <w:rPr>
                <w:rFonts w:hint="default" w:ascii="宋体" w:hAnsi="宋体" w:eastAsia="宋体"/>
                <w:b w:val="0"/>
                <w:i w:val="0"/>
                <w:color w:val="000000"/>
                <w:sz w:val="22"/>
                <w:u w:val="none"/>
                <w:lang w:eastAsia="zh-CN"/>
              </w:rPr>
              <w:t>0.00</w:t>
            </w:r>
          </w:p>
        </w:tc>
        <w:tc>
          <w:tcPr>
            <w:tcW w:w="3733" w:type="dxa"/>
            <w:gridSpan w:val="3"/>
            <w:tcBorders>
              <w:top w:val="nil"/>
              <w:left w:val="nil"/>
              <w:bottom w:val="nil"/>
              <w:right w:val="nil"/>
            </w:tcBorders>
            <w:tcMar>
              <w:top w:w="15" w:type="dxa"/>
              <w:left w:w="15" w:type="dxa"/>
              <w:right w:w="15" w:type="dxa"/>
            </w:tcMar>
            <w:vAlign w:val="center"/>
          </w:tcPr>
          <w:p>
            <w:pPr>
              <w:widowControl/>
              <w:jc w:val="left"/>
              <w:textAlignment w:val="center"/>
            </w:pPr>
          </w:p>
        </w:tc>
      </w:tr>
    </w:tbl>
    <w:p>
      <w:pPr>
        <w:jc w:val="left"/>
        <w:rPr>
          <w:rFonts w:hint="default"/>
          <w:lang w:val="en-US" w:eastAsia="zh-CN"/>
        </w:rPr>
      </w:pPr>
    </w:p>
    <w:p>
      <w:pPr>
        <w:jc w:val="left"/>
        <w:rPr>
          <w:rFonts w:hint="default"/>
          <w:lang w:val="en-US" w:eastAsia="zh-CN"/>
        </w:rPr>
      </w:pPr>
    </w:p>
    <w:p>
      <w:pPr>
        <w:jc w:val="left"/>
        <w:rPr>
          <w:rFonts w:hint="default"/>
          <w:lang w:val="en-US" w:eastAsia="zh-CN"/>
        </w:rPr>
      </w:pPr>
    </w:p>
    <w:tbl>
      <w:tblPr>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2"/>
        <w:gridCol w:w="425"/>
        <w:gridCol w:w="994"/>
        <w:gridCol w:w="2325"/>
        <w:gridCol w:w="289"/>
        <w:gridCol w:w="176"/>
        <w:gridCol w:w="331"/>
        <w:gridCol w:w="524"/>
        <w:gridCol w:w="855"/>
        <w:gridCol w:w="679"/>
      </w:tblGrid>
      <w:tr>
        <w:trPr>
          <w:trHeight w:val="406" w:hRule="atLeast"/>
          <w:jc w:val="center"/>
        </w:trPr>
        <w:tc>
          <w:tcPr>
            <w:tcW w:w="9520" w:type="dxa"/>
            <w:gridSpan w:val="10"/>
            <w:tcBorders>
              <w:top w:val="nil"/>
              <w:left w:val="nil"/>
              <w:bottom w:val="nil"/>
              <w:right w:val="nil"/>
            </w:tcBorders>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财政拨款收入支出决算总表</w:t>
            </w:r>
          </w:p>
        </w:tc>
      </w:tr>
      <w:tr>
        <w:trPr>
          <w:trHeight w:val="90" w:hRule="atLeast"/>
          <w:jc w:val="center"/>
        </w:trPr>
        <w:tc>
          <w:tcPr>
            <w:tcW w:w="2922"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42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9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614"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507"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公开04表</w:t>
            </w:r>
          </w:p>
        </w:tc>
      </w:tr>
      <w:tr>
        <w:trPr>
          <w:trHeight w:val="90" w:hRule="atLeast"/>
          <w:jc w:val="center"/>
        </w:trPr>
        <w:tc>
          <w:tcPr>
            <w:tcW w:w="2922"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rPr>
              <w:t>唐山市统计局</w:t>
            </w:r>
          </w:p>
        </w:tc>
        <w:tc>
          <w:tcPr>
            <w:tcW w:w="42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9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614"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507"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90" w:hRule="atLeast"/>
          <w:jc w:val="center"/>
        </w:trPr>
        <w:tc>
          <w:tcPr>
            <w:tcW w:w="43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     入</w:t>
            </w:r>
          </w:p>
        </w:tc>
        <w:tc>
          <w:tcPr>
            <w:tcW w:w="5179"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     出</w:t>
            </w:r>
          </w:p>
        </w:tc>
      </w:tr>
      <w:tr>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9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c>
          <w:tcPr>
            <w:tcW w:w="23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46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85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8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一般公共预算财政拨款</w:t>
            </w:r>
          </w:p>
        </w:tc>
        <w:tc>
          <w:tcPr>
            <w:tcW w:w="67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政府性基金预算财政拨款</w:t>
            </w:r>
          </w:p>
        </w:tc>
      </w:tr>
      <w:tr>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1,714.79</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1,422.24</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1,422.24</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34.24</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34.24</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七、文化旅游体育与传媒支出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36</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八、社会保障和就业支出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37</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87.30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87.30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九、卫生健康支出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104.94</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104.94</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十、节能环保支出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十一、城乡社区支出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十二、农林水支出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41</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十三、交通运输支出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42</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十四、资源勘探信息等支出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43</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十五、商业服务业等支出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44</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十六、金融支出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十七、援助其他地区支出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46</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十八、自然资源海洋气象等支出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47</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十九、住房保障支出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48</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62.98</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62.98</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二十、粮油物资储备支出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49</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rPr>
              <w:t>二十一、灾害防治及应急管理支出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二十二、其他支出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51</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9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二十四、债务付息支出</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52</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1,714.79</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53</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1,711.70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1,711.70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年初财政拨款结转和结余</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69.61</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年末财政拨款结转和结余</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54</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72.70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72.70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69.61</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55</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27</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56</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57</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p>
        </w:tc>
      </w:tr>
      <w:tr>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w:t>
            </w:r>
          </w:p>
        </w:tc>
        <w:tc>
          <w:tcPr>
            <w:tcW w:w="9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1,784.40</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46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58</w:t>
            </w:r>
          </w:p>
        </w:tc>
        <w:tc>
          <w:tcPr>
            <w:tcW w:w="855"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1,784.40</w:t>
            </w:r>
          </w:p>
        </w:tc>
        <w:tc>
          <w:tcPr>
            <w:tcW w:w="855"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1,784.40</w:t>
            </w:r>
          </w:p>
        </w:tc>
        <w:tc>
          <w:tcPr>
            <w:tcW w:w="67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0.00</w:t>
            </w:r>
          </w:p>
        </w:tc>
      </w:tr>
      <w:tr>
        <w:trPr>
          <w:trHeight w:val="90" w:hRule="atLeast"/>
          <w:jc w:val="center"/>
        </w:trPr>
        <w:tc>
          <w:tcPr>
            <w:tcW w:w="9520"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1"/>
        <w:gridCol w:w="273"/>
        <w:gridCol w:w="67"/>
        <w:gridCol w:w="67"/>
        <w:gridCol w:w="1695"/>
        <w:gridCol w:w="2329"/>
        <w:gridCol w:w="2329"/>
        <w:gridCol w:w="2329"/>
      </w:tblGrid>
      <w:tr>
        <w:trPr>
          <w:trHeight w:val="600" w:hRule="atLeast"/>
          <w:jc w:val="center"/>
        </w:trPr>
        <w:tc>
          <w:tcPr>
            <w:tcW w:w="999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一般公共预算财政拨款支出决算表</w:t>
            </w:r>
          </w:p>
        </w:tc>
      </w:tr>
      <w:tr>
        <w:trPr>
          <w:trHeight w:val="255" w:hRule="atLeast"/>
          <w:jc w:val="center"/>
        </w:trPr>
        <w:tc>
          <w:tcPr>
            <w:tcW w:w="1174" w:type="dxa"/>
            <w:gridSpan w:val="2"/>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67"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69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329"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4658"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公开05表</w:t>
            </w:r>
          </w:p>
        </w:tc>
      </w:tr>
      <w:tr>
        <w:trPr>
          <w:trHeight w:val="255" w:hRule="atLeast"/>
          <w:jc w:val="center"/>
        </w:trPr>
        <w:tc>
          <w:tcPr>
            <w:tcW w:w="1174" w:type="dxa"/>
            <w:gridSpan w:val="2"/>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67"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69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329"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4658"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308" w:hRule="atLeast"/>
          <w:jc w:val="center"/>
        </w:trPr>
        <w:tc>
          <w:tcPr>
            <w:tcW w:w="300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698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r>
      <w:tr>
        <w:trPr>
          <w:trHeight w:val="308" w:hRule="atLeast"/>
          <w:jc w:val="center"/>
        </w:trPr>
        <w:tc>
          <w:tcPr>
            <w:tcW w:w="9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2102"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23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23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23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r>
      <w:tr>
        <w:trPr>
          <w:trHeight w:val="277" w:hRule="atLeast"/>
          <w:jc w:val="center"/>
        </w:trPr>
        <w:tc>
          <w:tcPr>
            <w:tcW w:w="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2"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jc w:val="center"/>
        </w:trPr>
        <w:tc>
          <w:tcPr>
            <w:tcW w:w="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2"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jc w:val="center"/>
        </w:trPr>
        <w:tc>
          <w:tcPr>
            <w:tcW w:w="300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23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3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23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r>
      <w:tr>
        <w:trPr>
          <w:trHeight w:val="308" w:hRule="atLeast"/>
          <w:jc w:val="center"/>
        </w:trPr>
        <w:tc>
          <w:tcPr>
            <w:tcW w:w="300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i w:val="0"/>
                <w:color w:val="000000"/>
                <w:sz w:val="22"/>
                <w:u w:val="none"/>
                <w:lang w:eastAsia="zh-CN"/>
              </w:rPr>
              <w:t>1,711.70</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i w:val="0"/>
                <w:color w:val="000000"/>
                <w:sz w:val="22"/>
                <w:u w:val="none"/>
                <w:lang w:eastAsia="zh-CN"/>
              </w:rPr>
              <w:t>1,594.59</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i w:val="0"/>
                <w:color w:val="000000"/>
                <w:sz w:val="22"/>
                <w:u w:val="none"/>
                <w:lang w:eastAsia="zh-CN"/>
              </w:rPr>
              <w:t>117.11</w:t>
            </w:r>
          </w:p>
        </w:tc>
      </w:tr>
      <w:tr>
        <w:trPr>
          <w:trHeight w:val="308" w:hRule="atLeast"/>
          <w:jc w:val="center"/>
        </w:trPr>
        <w:tc>
          <w:tcPr>
            <w:tcW w:w="90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w:t>
            </w:r>
          </w:p>
        </w:tc>
        <w:tc>
          <w:tcPr>
            <w:tcW w:w="2102"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一般公共服务支出</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1,422.24</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1,305.14</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117.11</w:t>
            </w:r>
          </w:p>
        </w:tc>
      </w:tr>
      <w:tr>
        <w:trPr>
          <w:trHeight w:val="308" w:hRule="atLeast"/>
          <w:jc w:val="center"/>
        </w:trPr>
        <w:tc>
          <w:tcPr>
            <w:tcW w:w="90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w:t>
            </w:r>
          </w:p>
        </w:tc>
        <w:tc>
          <w:tcPr>
            <w:tcW w:w="2102"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统计信息事务</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1,422.24</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1,305.14</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117.11</w:t>
            </w:r>
          </w:p>
        </w:tc>
      </w:tr>
      <w:tr>
        <w:trPr>
          <w:trHeight w:val="308" w:hRule="atLeast"/>
          <w:jc w:val="center"/>
        </w:trPr>
        <w:tc>
          <w:tcPr>
            <w:tcW w:w="90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2010501</w:t>
            </w:r>
          </w:p>
        </w:tc>
        <w:tc>
          <w:tcPr>
            <w:tcW w:w="2102"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行政运行</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1,021.60</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1,021.60</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2010502</w:t>
            </w:r>
          </w:p>
        </w:tc>
        <w:tc>
          <w:tcPr>
            <w:tcW w:w="2102"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一般行政管理事务</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27.62</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27.62</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2010505</w:t>
            </w:r>
          </w:p>
        </w:tc>
        <w:tc>
          <w:tcPr>
            <w:tcW w:w="2102"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专项统计业务</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115.01</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115.01</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2010507</w:t>
            </w:r>
          </w:p>
        </w:tc>
        <w:tc>
          <w:tcPr>
            <w:tcW w:w="2102"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专项普查活动</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117.11</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c>
          <w:tcPr>
            <w:tcW w:w="232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117.11</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2010550</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事业运行</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140.90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140.90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教育支出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进修及培训</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2050803</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培训支出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34.24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社会保障和就业支出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行政事业单位离退休</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2080505</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机关事业单位基本养老保险缴费支出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87.30</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卫生健康支出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行政事业单位医疗</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104.94</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2101101</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行政单位医疗</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94.59</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94.59</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2101102</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事业单位医疗</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10.35</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10.35</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住房保障支出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住房改革支出</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r>
        <w:trPr>
          <w:trHeight w:val="308" w:hRule="atLeast"/>
          <w:jc w:val="center"/>
        </w:trPr>
        <w:tc>
          <w:tcPr>
            <w:tcW w:w="901" w:type="dxa"/>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2210201</w:t>
            </w:r>
          </w:p>
        </w:tc>
        <w:tc>
          <w:tcPr>
            <w:tcW w:w="2102" w:type="dxa"/>
            <w:gridSpan w:val="4"/>
            <w:textDirection w:val="lrTb"/>
            <w:vAlign w:val="center"/>
          </w:tcPr>
          <w:p>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住房公积金</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62.98</w:t>
            </w:r>
          </w:p>
        </w:tc>
        <w:tc>
          <w:tcPr>
            <w:tcW w:w="2329" w:type="dxa"/>
            <w:textDirection w:val="lrTb"/>
            <w:vAlign w:val="center"/>
          </w:tcPr>
          <w:p>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0.00</w:t>
            </w:r>
          </w:p>
        </w:tc>
      </w:tr>
    </w:tbl>
    <w:p>
      <w:pPr>
        <w:rPr>
          <w:rFonts w:hint="default"/>
          <w:lang w:val="en-US" w:eastAsia="zh-CN"/>
        </w:rPr>
      </w:pPr>
      <w:r>
        <w:rPr>
          <w:rFonts w:hint="default"/>
          <w:lang w:val="en-US" w:eastAsia="zh-CN"/>
        </w:rPr>
        <w:br w:type="page"/>
      </w:r>
    </w:p>
    <w:tbl>
      <w:tblPr>
        <w:tblW w:w="10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245"/>
        <w:gridCol w:w="1932"/>
        <w:gridCol w:w="783"/>
        <w:gridCol w:w="655"/>
        <w:gridCol w:w="1599"/>
        <w:gridCol w:w="768"/>
        <w:gridCol w:w="633"/>
        <w:gridCol w:w="111"/>
        <w:gridCol w:w="1929"/>
        <w:gridCol w:w="694"/>
      </w:tblGrid>
      <w:tr>
        <w:trPr>
          <w:trHeight w:val="662" w:hRule="atLeast"/>
          <w:jc w:val="center"/>
        </w:trPr>
        <w:tc>
          <w:tcPr>
            <w:tcW w:w="1000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一般公共预算财政拨款基本支出决算表</w:t>
            </w:r>
          </w:p>
        </w:tc>
      </w:tr>
      <w:tr>
        <w:trPr>
          <w:trHeight w:val="339" w:hRule="atLeast"/>
          <w:jc w:val="center"/>
        </w:trPr>
        <w:tc>
          <w:tcPr>
            <w:tcW w:w="896" w:type="dxa"/>
            <w:gridSpan w:val="2"/>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44"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公开06表</w:t>
            </w:r>
          </w:p>
        </w:tc>
      </w:tr>
      <w:tr>
        <w:trPr>
          <w:trHeight w:val="339" w:hRule="atLeast"/>
          <w:jc w:val="center"/>
        </w:trPr>
        <w:tc>
          <w:tcPr>
            <w:tcW w:w="896" w:type="dxa"/>
            <w:gridSpan w:val="2"/>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932"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44"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金额单位：万元</w:t>
            </w:r>
          </w:p>
        </w:tc>
      </w:tr>
      <w:tr>
        <w:trPr>
          <w:trHeight w:val="362" w:hRule="atLeast"/>
          <w:jc w:val="center"/>
        </w:trPr>
        <w:tc>
          <w:tcPr>
            <w:tcW w:w="36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人员经费</w:t>
            </w:r>
          </w:p>
        </w:tc>
        <w:tc>
          <w:tcPr>
            <w:tcW w:w="6389"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公用经费</w:t>
            </w:r>
          </w:p>
        </w:tc>
      </w:tr>
      <w:tr>
        <w:trPr>
          <w:trHeight w:val="362" w:hRule="atLeast"/>
          <w:jc w:val="center"/>
        </w:trPr>
        <w:tc>
          <w:tcPr>
            <w:tcW w:w="65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科目</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编码</w:t>
            </w:r>
          </w:p>
        </w:tc>
        <w:tc>
          <w:tcPr>
            <w:tcW w:w="217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c>
          <w:tcPr>
            <w:tcW w:w="63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科目</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编码</w:t>
            </w:r>
          </w:p>
        </w:tc>
        <w:tc>
          <w:tcPr>
            <w:tcW w:w="204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6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rPr>
          <w:trHeight w:val="349" w:hRule="atLeast"/>
          <w:jc w:val="center"/>
        </w:trPr>
        <w:tc>
          <w:tcPr>
            <w:tcW w:w="65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864.29</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337.35</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307</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债务利息及费用</w:t>
            </w:r>
            <w:r>
              <w:rPr>
                <w:rFonts w:hint="eastAsia" w:ascii="宋体" w:hAnsi="宋体" w:eastAsia="宋体"/>
                <w:b w:val="0"/>
                <w:i w:val="0"/>
                <w:color w:val="000000"/>
                <w:sz w:val="22"/>
                <w:u w:val="none"/>
                <w:shd w:val="clear" w:color="auto" w:fill="C0C0C0"/>
                <w:lang w:eastAsia="zh-CN"/>
              </w:rPr>
              <w:t>支</w:t>
            </w:r>
            <w:r>
              <w:rPr>
                <w:rFonts w:hint="default" w:ascii="宋体" w:hAnsi="宋体" w:eastAsia="宋体"/>
                <w:b w:val="0"/>
                <w:i w:val="0"/>
                <w:color w:val="000000"/>
                <w:sz w:val="22"/>
                <w:u w:val="none"/>
                <w:shd w:val="clear" w:color="auto" w:fill="C0C0C0"/>
                <w:lang w:eastAsia="zh-CN"/>
              </w:rPr>
              <w:t>出</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30101</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318.43</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30201</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5.92</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30701</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国内债务付息</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30102</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253.37</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30202</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43.74</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30702</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国外债务付息</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30103</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30203</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资本性支出</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30107</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33.23</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30205</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31002</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办公设备购置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30108</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5"/>
                <w:szCs w:val="15"/>
                <w:u w:val="none"/>
                <w:shd w:val="clear" w:color="auto" w:fill="C0C0C0"/>
                <w:lang w:eastAsia="zh-CN"/>
              </w:rPr>
              <w:t>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87.30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30206</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31003</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专用设备购置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30109</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30207</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32.93</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31005</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基础设施建设</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30110</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8"/>
                <w:szCs w:val="18"/>
                <w:u w:val="none"/>
                <w:shd w:val="clear" w:color="auto" w:fill="C0C0C0"/>
                <w:lang w:eastAsia="zh-CN"/>
              </w:rPr>
              <w:t>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34.19</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30208</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31006</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大型修缮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30111</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70.76</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30209</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4.00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31007</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6"/>
                <w:szCs w:val="16"/>
                <w:u w:val="none"/>
                <w:shd w:val="clear" w:color="auto" w:fill="C0C0C0"/>
                <w:lang w:eastAsia="zh-CN"/>
              </w:rPr>
              <w:t>信息网络及软件购置更新</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30112</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4.04</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30211</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16.39</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31008</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物资储备</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30113</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62.98</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30212</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8"/>
                <w:szCs w:val="18"/>
                <w:u w:val="none"/>
                <w:shd w:val="clear" w:color="auto" w:fill="C0C0C0"/>
                <w:lang w:eastAsia="zh-CN"/>
              </w:rPr>
              <w:t>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31009</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土地补偿</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30114</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30213</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2.50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31010</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安置补助</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30199</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30214</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25.00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31011</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0"/>
                <w:szCs w:val="20"/>
                <w:u w:val="none"/>
                <w:shd w:val="clear" w:color="auto" w:fill="C0C0C0"/>
                <w:lang w:eastAsia="zh-CN"/>
              </w:rPr>
              <w:t>地上附着物和青苗补偿</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392.95</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30215</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0.58</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31012</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拆迁补偿</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30301</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3.22</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30216</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34.24</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31013</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公务用车购置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30302</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58.10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30217</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1.13</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31019</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其他交通工具购置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30303</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30218</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31021</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文物和陈列品购置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30304</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1.47</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30224</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31022</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无形资产购置</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30305</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0.80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30225</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31099</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其他资本性支出</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30306</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30226</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34.02</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399</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其他支出</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30308</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30228</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5.73</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39907</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国家赔偿费用支出</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30309</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17.11</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30229</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6.31</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39908</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对民间非营利组织和群众性自治组织补贴</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30310</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30231</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6"/>
                <w:szCs w:val="16"/>
                <w:u w:val="none"/>
                <w:shd w:val="clear" w:color="auto" w:fill="C0C0C0"/>
                <w:lang w:eastAsia="zh-CN"/>
              </w:rPr>
              <w:t>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8.68</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39999</w:t>
            </w: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其他支出</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30399</w:t>
            </w: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6"/>
                <w:szCs w:val="16"/>
                <w:u w:val="none"/>
                <w:shd w:val="clear" w:color="auto" w:fill="C0C0C0"/>
                <w:lang w:eastAsia="zh-CN"/>
              </w:rPr>
              <w:t>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312.24</w:t>
            </w: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30239</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41.78</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p>
        </w:tc>
      </w:tr>
      <w:tr>
        <w:trPr>
          <w:trHeight w:val="482" w:hRule="atLeast"/>
          <w:jc w:val="center"/>
        </w:trPr>
        <w:tc>
          <w:tcPr>
            <w:tcW w:w="651" w:type="dxa"/>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p>
        </w:tc>
        <w:tc>
          <w:tcPr>
            <w:tcW w:w="2177"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30299</w:t>
            </w:r>
          </w:p>
        </w:tc>
        <w:tc>
          <w:tcPr>
            <w:tcW w:w="1599"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74.42</w:t>
            </w:r>
          </w:p>
        </w:tc>
        <w:tc>
          <w:tcPr>
            <w:tcW w:w="633" w:type="dxa"/>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p>
        </w:tc>
        <w:tc>
          <w:tcPr>
            <w:tcW w:w="2040" w:type="dxa"/>
            <w:gridSpan w:val="2"/>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left"/>
              <w:textAlignment w:val="center"/>
              <w:rPr>
                <w:rFonts w:hint="eastAsia" w:ascii="宋体" w:hAnsi="宋体" w:eastAsia="宋体" w:cs="宋体"/>
                <w:i w:val="0"/>
                <w:color w:val="000000"/>
                <w:sz w:val="20"/>
                <w:szCs w:val="20"/>
                <w:u w:val="none"/>
              </w:rPr>
            </w:pP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p>
        </w:tc>
      </w:tr>
      <w:tr>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center"/>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18"/>
                <w:szCs w:val="18"/>
                <w:u w:val="none"/>
                <w:lang w:eastAsia="zh-CN"/>
              </w:rPr>
              <w:t>1,257.2</w:t>
            </w:r>
            <w:r>
              <w:rPr>
                <w:rFonts w:hint="default" w:ascii="宋体" w:hAnsi="宋体" w:eastAsia="宋体"/>
                <w:b w:val="0"/>
                <w:i w:val="0"/>
                <w:color w:val="000000"/>
                <w:sz w:val="22"/>
                <w:u w:val="none"/>
                <w:lang w:eastAsia="zh-CN"/>
              </w:rPr>
              <w:t>4</w:t>
            </w:r>
          </w:p>
        </w:tc>
        <w:tc>
          <w:tcPr>
            <w:tcW w:w="5695" w:type="dxa"/>
            <w:gridSpan w:val="6"/>
            <w:tcBorders>
              <w:top w:val="nil"/>
              <w:left w:val="nil"/>
              <w:bottom w:val="single" w:color="000000" w:sz="4" w:space="0"/>
              <w:right w:val="single" w:color="000000" w:sz="4" w:space="0"/>
            </w:tcBorders>
            <w:shd w:val="solid" w:color="C0C0C0" w:fill="auto"/>
            <w:tcMar>
              <w:top w:w="15" w:type="dxa"/>
              <w:left w:w="15" w:type="dxa"/>
              <w:right w:w="15" w:type="dxa"/>
            </w:tcMar>
            <w:textDirection w:val="lrTb"/>
            <w:vAlign w:val="center"/>
          </w:tcPr>
          <w:p>
            <w:pPr>
              <w:shd w:val="solid" w:color="C0C0C0" w:fill="auto"/>
              <w:autoSpaceDN w:val="0"/>
              <w:jc w:val="center"/>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shd w:val="clear" w:color="auto" w:fill="C0C0C0"/>
                <w:lang w:eastAsia="zh-CN"/>
              </w:rPr>
              <w:t>公用经费合计</w:t>
            </w:r>
          </w:p>
        </w:tc>
        <w:tc>
          <w:tcPr>
            <w:tcW w:w="694"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337.35</w:t>
            </w:r>
          </w:p>
        </w:tc>
      </w:tr>
    </w:tbl>
    <w:p>
      <w:pPr>
        <w:rPr>
          <w:rFonts w:hint="default"/>
          <w:lang w:val="en-US" w:eastAsia="zh-CN"/>
        </w:rPr>
      </w:pPr>
      <w:r>
        <w:rPr>
          <w:rFonts w:hint="default"/>
          <w:lang w:val="en-US" w:eastAsia="zh-CN"/>
        </w:rPr>
        <w:br w:type="page"/>
      </w:r>
    </w:p>
    <w:tbl>
      <w:tblPr>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7"/>
        <w:gridCol w:w="1686"/>
        <w:gridCol w:w="1565"/>
        <w:gridCol w:w="1565"/>
        <w:gridCol w:w="1565"/>
        <w:gridCol w:w="1572"/>
      </w:tblGrid>
      <w:tr>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一般公共预算财政拨款“三公”经费支出决算表</w:t>
            </w:r>
          </w:p>
        </w:tc>
      </w:tr>
      <w:tr>
        <w:trPr>
          <w:trHeight w:val="360" w:hRule="atLeast"/>
          <w:jc w:val="center"/>
        </w:trPr>
        <w:tc>
          <w:tcPr>
            <w:tcW w:w="1267"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1686"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rPr>
          <w:trHeight w:val="360" w:hRule="atLeast"/>
          <w:jc w:val="center"/>
        </w:trPr>
        <w:tc>
          <w:tcPr>
            <w:tcW w:w="2953" w:type="dxa"/>
            <w:gridSpan w:val="2"/>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部门：唐山市统计局</w:t>
            </w:r>
          </w:p>
        </w:tc>
        <w:tc>
          <w:tcPr>
            <w:tcW w:w="156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r>
      <w:tr>
        <w:trPr>
          <w:trHeight w:val="90"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r>
      <w:tr>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18.6</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r>
      <w:tr>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trPr>
          <w:trHeight w:val="447" w:hRule="atLeast"/>
          <w:jc w:val="center"/>
        </w:trPr>
        <w:tc>
          <w:tcPr>
            <w:tcW w:w="126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9.81</w:t>
            </w:r>
          </w:p>
        </w:tc>
        <w:tc>
          <w:tcPr>
            <w:tcW w:w="1686"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8.68</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8.68</w:t>
            </w:r>
          </w:p>
        </w:tc>
        <w:tc>
          <w:tcPr>
            <w:tcW w:w="1572" w:type="dxa"/>
            <w:tcBorders>
              <w:top w:val="nil"/>
              <w:left w:val="nil"/>
              <w:bottom w:val="single" w:color="auto" w:sz="4" w:space="0"/>
              <w:right w:val="single" w:color="auto"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1.13</w:t>
            </w: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rPr>
          <w:trHeight w:val="780" w:hRule="atLeast"/>
          <w:jc w:val="center"/>
        </w:trPr>
        <w:tc>
          <w:tcPr>
            <w:tcW w:w="951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政府性基金预算财政拨款收入支出决算表</w:t>
            </w:r>
          </w:p>
        </w:tc>
      </w:tr>
      <w:tr>
        <w:trPr>
          <w:trHeight w:val="255" w:hRule="atLeast"/>
          <w:jc w:val="center"/>
        </w:trPr>
        <w:tc>
          <w:tcPr>
            <w:tcW w:w="1020"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58"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58"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47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30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rPr>
          <w:trHeight w:val="255" w:hRule="atLeast"/>
          <w:jc w:val="center"/>
        </w:trPr>
        <w:tc>
          <w:tcPr>
            <w:tcW w:w="2610" w:type="dxa"/>
            <w:gridSpan w:val="4"/>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部门：唐山市统计局</w:t>
            </w: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230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年初结转和结余</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本年收入</w:t>
            </w:r>
          </w:p>
        </w:tc>
        <w:tc>
          <w:tcPr>
            <w:tcW w:w="345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r>
      <w:tr>
        <w:trPr>
          <w:trHeight w:val="308" w:hRule="atLeast"/>
          <w:jc w:val="center"/>
        </w:trPr>
        <w:tc>
          <w:tcPr>
            <w:tcW w:w="113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47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r>
      <w:tr>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8"/>
        <w:gridCol w:w="74"/>
        <w:gridCol w:w="74"/>
        <w:gridCol w:w="3798"/>
        <w:gridCol w:w="961"/>
        <w:gridCol w:w="1860"/>
        <w:gridCol w:w="1860"/>
      </w:tblGrid>
      <w:tr>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国有资本经营预算财政拨款支出决算表</w:t>
            </w:r>
          </w:p>
        </w:tc>
      </w:tr>
      <w:tr>
        <w:trPr>
          <w:trHeight w:val="255" w:hRule="atLeast"/>
          <w:jc w:val="center"/>
        </w:trPr>
        <w:tc>
          <w:tcPr>
            <w:tcW w:w="1288" w:type="dxa"/>
            <w:tcBorders>
              <w:top w:val="nil"/>
              <w:left w:val="nil"/>
              <w:bottom w:val="nil"/>
              <w:right w:val="nil"/>
            </w:tcBorders>
            <w:tcMar>
              <w:top w:w="15" w:type="dxa"/>
              <w:left w:w="15" w:type="dxa"/>
              <w:right w:w="15" w:type="dxa"/>
            </w:tcMar>
            <w:vAlign w:val="bottom"/>
          </w:tcPr>
          <w:p>
            <w:pPr>
              <w:rPr>
                <w:rFonts w:hint="eastAsia" w:ascii="Arial" w:hAnsi="Arial" w:cs="Arial"/>
                <w:i w:val="0"/>
                <w:color w:val="000000"/>
                <w:sz w:val="20"/>
                <w:szCs w:val="20"/>
                <w:u w:val="none"/>
              </w:rPr>
            </w:pPr>
          </w:p>
        </w:tc>
        <w:tc>
          <w:tcPr>
            <w:tcW w:w="7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3798"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372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trPr>
          <w:trHeight w:val="255" w:hRule="atLeast"/>
          <w:jc w:val="center"/>
        </w:trPr>
        <w:tc>
          <w:tcPr>
            <w:tcW w:w="1288"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74"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3798"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961" w:type="dxa"/>
            <w:tcBorders>
              <w:top w:val="nil"/>
              <w:left w:val="nil"/>
              <w:bottom w:val="nil"/>
              <w:right w:val="nil"/>
            </w:tcBorders>
            <w:tcMar>
              <w:top w:w="15" w:type="dxa"/>
              <w:left w:w="15" w:type="dxa"/>
              <w:right w:w="15" w:type="dxa"/>
            </w:tcMar>
            <w:vAlign w:val="bottom"/>
          </w:tcPr>
          <w:p>
            <w:pPr>
              <w:rPr>
                <w:rFonts w:hint="default" w:ascii="Arial" w:hAnsi="Arial" w:cs="Arial"/>
                <w:i w:val="0"/>
                <w:color w:val="000000"/>
                <w:sz w:val="20"/>
                <w:szCs w:val="20"/>
                <w:u w:val="none"/>
              </w:rPr>
            </w:pPr>
          </w:p>
        </w:tc>
        <w:tc>
          <w:tcPr>
            <w:tcW w:w="372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w:t>
            </w:r>
          </w:p>
        </w:tc>
        <w:tc>
          <w:tcPr>
            <w:tcW w:w="468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r>
      <w:tr>
        <w:trPr>
          <w:trHeight w:val="615"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r>
      <w:tr>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r>
      <w:tr>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p>
      <w:pPr>
        <w:jc w:val="both"/>
        <w:rPr>
          <w:rFonts w:hint="default"/>
          <w:lang w:val="en-US" w:eastAsia="zh-CN"/>
        </w:rPr>
      </w:pPr>
      <w:r>
        <w:rPr>
          <w:rFonts w:ascii="等线" w:hAnsi="等线" w:eastAsia="等线" w:cs="黑体"/>
          <w:kern w:val="2"/>
          <w:sz w:val="21"/>
          <w:szCs w:val="22"/>
          <w:lang w:val="en-US" w:eastAsia="zh-CN" w:bidi="ar-SA"/>
        </w:rPr>
        <w:pict>
          <v:rect id="矩形 40" o:spid="_x0000_s1038" style="position:absolute;left:0;margin-left:-70.4pt;margin-top:-85.15pt;height:841.15pt;width:595.1pt;rotation:0f;z-index:251671552;" o:ole="f" fillcolor="#FFC000" filled="t" o:preferrelative="t" stroked="f" coordsize="21600,21600">
            <v:imagedata gain="65536f" blacklevel="0f" gamma="0"/>
            <o:lock v:ext="edit" position="f" selection="f" grouping="f" rotation="f" cropping="f" text="f" aspectratio="f"/>
          </v:rect>
        </w:pict>
      </w:r>
    </w:p>
    <w:sectPr>
      <w:headerReference r:id="rId19" w:type="first"/>
      <w:headerReference r:id="rId18" w:type="default"/>
      <w:footerReference r:id="rId20" w:type="default"/>
      <w:pgSz w:w="11906" w:h="16838"/>
      <w:pgMar w:top="1701" w:right="1417" w:bottom="1281" w:left="1417" w:header="851" w:footer="992" w:gutter="0"/>
      <w:pgNumType w:fmt="numberInDash"/>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auto"/>
    <w:pitch w:val="default"/>
    <w:sig w:usb0="E00002FF" w:usb1="2AC7FDFF" w:usb2="00000016" w:usb3="00000000" w:csb0="2002009F" w:csb1="00000000"/>
  </w:font>
  <w:font w:name="思源黑体 HW Bold">
    <w:altName w:val="黑体"/>
    <w:panose1 w:val="020B0800000000000000"/>
    <w:charset w:val="86"/>
    <w:family w:val="auto"/>
    <w:pitch w:val="default"/>
    <w:sig w:usb0="00000000" w:usb1="00000000" w:usb2="00000016" w:usb3="00000000" w:csb0="002E0107" w:csb1="00000000"/>
  </w:font>
  <w:font w:name="楷体">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auto"/>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auto"/>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方正仿宋_GBK">
    <w:altName w:val="微软雅黑"/>
    <w:panose1 w:val="03000509000000000000"/>
    <w:charset w:val="86"/>
    <w:family w:val="auto"/>
    <w:pitch w:val="default"/>
    <w:sig w:usb0="A00002BF" w:usb1="38CF7CFA" w:usb2="00082016"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中宋">
    <w:altName w:val="宋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黑体"/>
        <w:kern w:val="2"/>
        <w:sz w:val="18"/>
        <w:szCs w:val="18"/>
        <w:lang w:val="en-US" w:eastAsia="zh-CN" w:bidi="ar-SA"/>
      </w:rPr>
      <w:pict>
        <v:rect id="文本框 5" o:spid="_x0000_s1049" style="position:absolute;left:0;margin-left:209.15pt;margin-top:-5.9pt;height:18.7pt;width:144pt;mso-position-horizontal-relative:margin;mso-wrap-style:none;rotation:0f;z-index:25167052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15</w:t>
                </w:r>
                <w:r>
                  <w:rPr>
                    <w:rFonts w:hint="default" w:ascii="Times New Roman" w:hAnsi="Times New Roman" w:cs="Times New Roman"/>
                    <w:sz w:val="24"/>
                    <w:szCs w:val="24"/>
                    <w:lang w:eastAsia="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黑体"/>
        <w:kern w:val="2"/>
        <w:sz w:val="18"/>
        <w:szCs w:val="18"/>
        <w:lang w:val="en-US" w:eastAsia="zh-CN" w:bidi="ar-SA"/>
      </w:rPr>
      <w:pict>
        <v:rect id="文本框 14" o:spid="_x0000_s1050" style="position:absolute;left:0;margin-left:205.45pt;margin-top:-18.65pt;height:31.45pt;width:30.15pt;mso-position-horizontal-relative:margin;rotation:0f;z-index:25167155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16</w:t>
                </w:r>
                <w:r>
                  <w:rPr>
                    <w:rFonts w:hint="default" w:ascii="Times New Roman" w:hAnsi="Times New Roman" w:cs="Times New Roman"/>
                    <w:sz w:val="24"/>
                    <w:szCs w:val="24"/>
                    <w:lang w:eastAsia="zh-CN"/>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黑体"/>
        <w:kern w:val="2"/>
        <w:sz w:val="18"/>
        <w:szCs w:val="18"/>
        <w:lang w:val="en-US" w:eastAsia="zh-CN" w:bidi="ar-SA"/>
      </w:rPr>
      <w:pict>
        <v:rect id="文本框 45" o:spid="_x0000_s1053" style="position:absolute;left:0;margin-left:209.15pt;margin-top:-5.9pt;height:18.7pt;width:144pt;mso-position-horizontal-relative:margin;mso-wrap-style:none;rotation:0f;z-index:25167462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21</w:t>
                </w:r>
                <w:r>
                  <w:rPr>
                    <w:rFonts w:hint="default" w:ascii="Times New Roman" w:hAnsi="Times New Roman" w:cs="Times New Roman"/>
                    <w:sz w:val="24"/>
                    <w:szCs w:val="24"/>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r>
      <w:rPr>
        <w:rFonts w:ascii="等线" w:hAnsi="等线" w:eastAsia="等线" w:cs="黑体"/>
        <w:kern w:val="2"/>
        <w:sz w:val="18"/>
        <w:szCs w:val="18"/>
        <w:lang w:val="en-US" w:eastAsia="zh-CN" w:bidi="ar-SA"/>
      </w:rPr>
      <w:pict>
        <v:group id="组合 1025" o:spid="_x0000_s1042" style="position:absolute;left:0;margin-top:29.75pt;height:32pt;width:157.5pt;mso-position-horizontal:left;mso-position-horizontal-relative:page;mso-position-vertical-relative:page;rotation:0f;z-index:251659264;" coordorigin="1337,880" coordsize="3151,641">
          <o:lock v:ext="edit" position="f" selection="f" grouping="f" rotation="f" cropping="f" text="f" aspectratio="f"/>
          <v:rect id="矩形 1026" o:spid="_x0000_s1056" style="position:absolute;left:1401;top:880;height:641;width:3087;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rect>
          <v:rect id="矩形 1027" o:spid="_x0000_s1057" style="position:absolute;left:1337;top:1044;height:330;width:119;rotation:0f;" o:ole="f" fillcolor="#000000" filled="t" o:preferrelative="t" stroked="f" coordsize="21600,21600">
            <v:imagedata gain="65536f" blacklevel="0f" gamma="0"/>
            <o:lock v:ext="edit" position="f" selection="f" grouping="f" rotation="f" cropping="f" text="f" aspectratio="f"/>
          </v:rect>
        </v:group>
      </w:pict>
    </w:r>
    <w:r>
      <w:rPr>
        <w:rFonts w:ascii="等线" w:hAnsi="等线" w:eastAsia="等线" w:cs="黑体"/>
        <w:kern w:val="2"/>
        <w:sz w:val="18"/>
        <w:szCs w:val="18"/>
        <w:lang w:val="en-US" w:eastAsia="zh-CN" w:bidi="ar-SA"/>
      </w:rPr>
      <w:pict>
        <v:group id="组合 1028" o:spid="_x0000_s1041" style="position:absolute;left:0;margin-top:-58.85pt;height:58.95pt;width:595.3pt;mso-position-horizontal:center;mso-position-horizontal-relative:page;mso-position-vertical-relative:page;rotation:0f;z-index:251658240;" coordorigin="881,505" coordsize="11931,1179">
          <o:lock v:ext="edit" position="f" selection="f" grouping="f" rotation="f" cropping="f" text="f" aspectratio="f"/>
          <v:rect id="矩形 1029" o:spid="_x0000_s1058" style="position:absolute;left:881;top:1538;height:146;width:11925;rotation:0f;" o:ole="f" fillcolor="#FFD966" filled="t" o:preferrelative="t" stroked="f" coordsize="21600,21600">
            <v:imagedata gain="65536f" blacklevel="0f" gamma="0"/>
            <o:lock v:ext="edit" position="f" selection="f" grouping="f" rotation="f" cropping="f" text="f" aspectratio="f"/>
          </v:rect>
          <v:shape id="未知" o:spid="_x0000_s1059" type="" style="position:absolute;left:10177;top:686;height:862;width:2619;rotation:0f;" o:ole="f" fillcolor="#000000" filled="t" o:preferrelative="t" stroked="f" coordorigin="0,0" coordsize="2619,862" path="m595,1l2619,0,2619,862,0,862,595,1xe">
            <v:path textboxrect="0,0,2619,862"/>
            <v:imagedata gain="65536f" blacklevel="0f" gamma="0"/>
            <o:lock v:ext="edit" position="f" selection="f" grouping="f" rotation="f" cropping="f" text="f" aspectratio="f"/>
          </v:shape>
          <v:shape id="未知" o:spid="_x0000_s1060" type="" style="position:absolute;left:10467;top:505;height:1108;width:2345;rotation:0f;" o:ole="f" fillcolor="#FFD966" filled="t" o:preferrelative="t" stroked="f" coordorigin="0,0" coordsize="2619,1265" path="m668,0l2619,10,2619,1265,0,1265,668,0xe">
            <v:path textboxrect="0,0,2345,1108"/>
            <v:imagedata gain="65536f" blacklevel="0f" gamma="0"/>
            <o:lock v:ext="edit" position="f" selection="f" grouping="f" rotation="f" cropping="f" text="f" aspectratio="f"/>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r>
      <w:rPr>
        <w:rFonts w:ascii="等线" w:hAnsi="等线" w:eastAsia="等线" w:cs="黑体"/>
        <w:kern w:val="2"/>
        <w:sz w:val="18"/>
        <w:szCs w:val="18"/>
        <w:lang w:val="en-US" w:eastAsia="zh-CN" w:bidi="ar-SA"/>
      </w:rPr>
      <w:pict>
        <v:group id="组合 1083" o:spid="_x0000_s1054" style="position:absolute;left:0;margin-left:2.5pt;margin-top:28.75pt;height:35.25pt;width:594.8pt;mso-position-horizontal-relative:page;mso-position-vertical-relative:page;rotation:0f;z-index:251675648;" coordorigin="878,302" coordsize="11897,705">
          <o:lock v:ext="edit" position="f" selection="f" grouping="f" rotation="f" cropping="f" text="f" aspectratio="f"/>
          <v:rect id="矩形 1090" o:spid="_x0000_s1076" style="position:absolute;left:878;top:920;height:87;width:11892;rotation:0f;" o:ole="f" fillcolor="#FFD966" filled="t" o:preferrelative="t" stroked="f" coordsize="21600,21600">
            <v:imagedata gain="65536f" blacklevel="0f" gamma="0"/>
            <o:lock v:ext="edit" position="f" selection="f" grouping="f" rotation="f" cropping="f" text="f" aspectratio="f"/>
          </v:rect>
          <v:shape id="未知" o:spid="_x0000_s1077" type="" style="position:absolute;left:10148;top:410;height:516;width:2612;rotation:0f;" o:ole="f" fillcolor="#000000" filled="t" o:preferrelative="t" stroked="f" coordorigin="0,0" coordsize="2619,862" path="m595,1l2619,0,2619,862,0,862,595,1xe">
            <v:path textboxrect="0,0,2619,862"/>
            <v:imagedata gain="65536f" blacklevel="0f" gamma="0"/>
            <o:lock v:ext="edit" position="f" selection="f" grouping="f" rotation="f" cropping="f" text="f" aspectratio="f"/>
          </v:shape>
          <v:shape id="未知" o:spid="_x0000_s1078" type="" style="position:absolute;left:10437;top:302;height:663;width:2338;rotation:0f;" o:ole="f" fillcolor="#FFD966" filled="t" o:preferrelative="t" stroked="f" coordorigin="0,0" coordsize="2619,1265" path="m668,0l2619,10,2619,1265,0,1265,668,0xe">
            <v:path textboxrect="0,0,2345,1108"/>
            <v:imagedata gain="65536f" blacklevel="0f" gamma="0"/>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87" o:spid="_x0000_s1055" style="position:absolute;left:0;margin-left:0pt;margin-top:29.75pt;height:32pt;width:280pt;mso-position-horizontal-relative:page;mso-position-vertical-relative:page;rotation:0f;z-index:251676672;" coordorigin="2377,880" coordsize="5602,641">
          <o:lock v:ext="edit" position="f" selection="f" grouping="f" rotation="f" cropping="f" text="f" aspectratio="f"/>
          <v:rect id="矩形 1094" o:spid="_x0000_s1079" style="position:absolute;left:2491;top:880;height:641;width:5488;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rect>
          <v:rect id="矩形 1095" o:spid="_x0000_s1080" style="position:absolute;left:2377;top:1044;height:330;width:211;rotation:0f;" o:ole="f" fillcolor="#000000" filled="t" o:preferrelative="t" stroked="f" coordsize="21600,21600">
            <v:imagedata gain="65536f" blacklevel="0f" gamma="0"/>
            <o:lock v:ext="edit" position="f" selection="f" grouping="f" rotation="f" cropping="f" text="f" aspectratio="f"/>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r>
      <w:rPr>
        <w:rFonts w:ascii="等线" w:hAnsi="等线" w:eastAsia="等线" w:cs="黑体"/>
        <w:kern w:val="2"/>
        <w:sz w:val="18"/>
        <w:szCs w:val="18"/>
        <w:lang w:val="en-US" w:eastAsia="zh-CN" w:bidi="ar-SA"/>
      </w:rPr>
      <w:pict>
        <v:group id="组合 1091" o:spid="_x0000_s1051" style="position:absolute;left:0;margin-left:0.75pt;margin-top:24.2pt;height:38.05pt;width:595.3pt;mso-position-horizontal-relative:page;mso-position-vertical-relative:page;rotation:0f;z-index:251672576;" coordorigin="881,326" coordsize="11931,761">
          <o:lock v:ext="edit" position="f" selection="f" grouping="f" rotation="f" cropping="f" text="f" aspectratio="f"/>
          <v:rect id="矩形 1098" o:spid="_x0000_s1081" style="position:absolute;left:881;top:993;height:94;width:11925;rotation:0f;" o:ole="f" fillcolor="#FFD966" filled="t" o:preferrelative="t" stroked="f" coordsize="21600,21600">
            <v:imagedata gain="65536f" blacklevel="0f" gamma="0"/>
            <o:lock v:ext="edit" position="f" selection="f" grouping="f" rotation="f" cropping="f" text="f" aspectratio="f"/>
          </v:rect>
          <v:shape id="未知" o:spid="_x0000_s1082" type="" style="position:absolute;left:10177;top:443;height:556;width:2619;rotation:0f;" o:ole="f" fillcolor="#000000" filled="t" o:preferrelative="t" stroked="f" coordorigin="0,0" coordsize="2619,862" path="m595,1l2619,0,2619,862,0,862,595,1xe">
            <v:path textboxrect="0,0,2619,862"/>
            <v:imagedata gain="65536f" blacklevel="0f" gamma="0"/>
            <o:lock v:ext="edit" position="f" selection="f" grouping="f" rotation="f" cropping="f" text="f" aspectratio="f"/>
          </v:shape>
          <v:shape id="未知" o:spid="_x0000_s1083" type="" style="position:absolute;left:10467;top:326;height:715;width:2345;rotation:0f;" o:ole="f" fillcolor="#FFD966" filled="t" o:preferrelative="t" stroked="f" coordorigin="0,0" coordsize="2619,1265" path="m668,0l2619,10,2619,1265,0,1265,668,0xe">
            <v:path textboxrect="0,0,2345,1108"/>
            <v:imagedata gain="65536f" blacklevel="0f" gamma="0"/>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95" o:spid="_x0000_s1052" style="position:absolute;left:0;margin-top:29.75pt;height:32pt;width:254.25pt;mso-position-horizontal:left;mso-position-horizontal-relative:page;mso-position-vertical-relative:page;rotation:0f;z-index:251673600;" coordorigin="2158,880" coordsize="5087,641">
          <o:lock v:ext="edit" position="f" selection="f" grouping="f" rotation="f" cropping="f" text="f" aspectratio="f"/>
          <v:rect id="矩形 1102" o:spid="_x0000_s1084" style="position:absolute;left:2262;top:880;height:641;width:4983;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rect>
          <v:rect id="矩形 1103" o:spid="_x0000_s1085" style="position:absolute;left:2158;top:1044;height:330;width:192;rotation:0f;" o:ole="f" fillcolor="#000000" filled="t" o:preferrelative="t" stroked="f" coordsize="21600,21600">
            <v:imagedata gain="65536f" blacklevel="0f" gamma="0"/>
            <o:lock v:ext="edit" position="f" selection="f" grouping="f" rotation="f" cropping="f" text="f" aspectratio="f"/>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r>
      <w:rPr>
        <w:rFonts w:ascii="等线" w:hAnsi="等线" w:eastAsia="等线" w:cs="黑体"/>
        <w:kern w:val="2"/>
        <w:sz w:val="18"/>
        <w:szCs w:val="18"/>
        <w:lang w:val="en-US" w:eastAsia="zh-CN" w:bidi="ar-SA"/>
      </w:rPr>
      <w:pict>
        <v:group id="组合 1053" o:spid="_x0000_s1043" style="position:absolute;left:0;margin-left:2.75pt;margin-top:46.95pt;height:32.8pt;width:596.85pt;mso-position-horizontal-relative:page;mso-position-vertical-relative:page;rotation:0f;z-index:251660288;" coordorigin="878,281" coordsize="11937,656">
          <o:lock v:ext="edit" position="f" selection="f" grouping="f" rotation="f" cropping="f" text="f" aspectratio="f"/>
          <v:rect id="矩形 1054" o:spid="_x0000_s1061" style="position:absolute;left:878;top:856;height:81;width:11892;rotation:0f;" o:ole="f" fillcolor="#FFD966" filled="t" o:preferrelative="t" stroked="f" coordsize="21600,21600">
            <v:imagedata gain="65536f" blacklevel="0f" gamma="0"/>
            <o:lock v:ext="edit" position="f" selection="f" grouping="f" rotation="f" cropping="f" text="f" aspectratio="f"/>
          </v:rect>
          <v:shape id="未知" o:spid="_x0000_s1062" type="" style="position:absolute;left:10148;top:382;height:479;width:2612;rotation:0f;" o:ole="f" fillcolor="#000000" filled="t" o:preferrelative="t" stroked="f" coordorigin="0,0" coordsize="2619,862" path="m595,1l2619,0,2619,862,0,862,595,1xe">
            <v:path textboxrect="0,0,2619,862"/>
            <v:imagedata gain="65536f" blacklevel="0f" gamma="0"/>
            <o:lock v:ext="edit" position="f" selection="f" grouping="f" rotation="f" cropping="f" text="f" aspectratio="f"/>
          </v:shape>
          <v:shape id="未知" o:spid="_x0000_s1063" type="" style="position:absolute;left:10437;top:281;height:616;width:2378;rotation:0f;" o:ole="f" fillcolor="#FFD966" filled="t" o:preferrelative="t" stroked="f" coordorigin="0,0" coordsize="2619,1265" path="m668,0l2619,10,2619,1265,0,1265,668,0xe">
            <v:path textboxrect="0,0,2385,1107"/>
            <v:imagedata gain="65536f" blacklevel="0f" gamma="0"/>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57" o:spid="_x0000_s1044" style="position:absolute;left:0;margin-left:1.95pt;margin-top:47.1pt;height:32pt;width:235.7pt;mso-position-horizontal-relative:page;mso-position-vertical-relative:page;rotation:0f;z-index:251661312;" coordorigin="2001,880" coordsize="4715,641">
          <o:lock v:ext="edit" position="f" selection="f" grouping="f" rotation="f" cropping="f" text="f" aspectratio="f"/>
          <v:rect id="矩形 1058" o:spid="_x0000_s1064" style="position:absolute;left:2097;top:880;height:641;width:4619;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rect>
          <v:rect id="矩形 1059" o:spid="_x0000_s1065" style="position:absolute;left:2001;top:1044;height:330;width:178;rotation:0f;" o:ole="f" fillcolor="#000000" filled="t" o:preferrelative="t" stroked="f" coordsize="21600,21600">
            <v:imagedata gain="65536f" blacklevel="0f" gamma="0"/>
            <o:lock v:ext="edit" position="f" selection="f" grouping="f" rotation="f" cropping="f" text="f" aspectratio="f"/>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r>
      <w:rPr>
        <w:rFonts w:ascii="等线" w:hAnsi="等线" w:eastAsia="等线" w:cs="黑体"/>
        <w:kern w:val="2"/>
        <w:sz w:val="18"/>
        <w:szCs w:val="18"/>
        <w:lang w:val="en-US" w:eastAsia="zh-CN" w:bidi="ar-SA"/>
      </w:rPr>
      <w:pict>
        <v:group id="组合 1065" o:spid="_x0000_s1045" style="position:absolute;left:0;margin-left:0pt;margin-top:43.35pt;height:37.85pt;width:594.8pt;mso-position-horizontal-relative:page;mso-position-vertical-relative:page;rotation:0f;z-index:251662336;" coordorigin="878,324" coordsize="11897,757">
          <o:lock v:ext="edit" position="f" selection="f" grouping="f" rotation="f" cropping="f" text="f" aspectratio="f"/>
          <v:rect id="矩形 1072" o:spid="_x0000_s1066" style="position:absolute;left:878;top:988;height:93;width:11892;rotation:0f;" o:ole="f" fillcolor="#FFD966" filled="t" o:preferrelative="t" stroked="f" coordsize="21600,21600">
            <v:imagedata gain="65536f" blacklevel="0f" gamma="0"/>
            <o:lock v:ext="edit" position="f" selection="f" grouping="f" rotation="f" cropping="f" text="f" aspectratio="f"/>
          </v:rect>
          <v:shape id="未知" o:spid="_x0000_s1067" type="" style="position:absolute;left:10148;top:440;height:554;width:2612;rotation:0f;" o:ole="f" fillcolor="#000000" filled="t" o:preferrelative="t" stroked="f" coordorigin="0,0" coordsize="2619,862" path="m595,1l2619,0,2619,862,0,862,595,1xe">
            <v:path textboxrect="0,0,2619,862"/>
            <v:imagedata gain="65536f" blacklevel="0f" gamma="0"/>
            <o:lock v:ext="edit" position="f" selection="f" grouping="f" rotation="f" cropping="f" text="f" aspectratio="f"/>
          </v:shape>
          <v:shape id="未知" o:spid="_x0000_s1068" type="" style="position:absolute;left:10437;top:324;height:712;width:2338;rotation:0f;" o:ole="f" fillcolor="#FFD966" filled="t" o:preferrelative="t" stroked="f" coordorigin="0,0" coordsize="2619,1265" path="m668,0l2619,10,2619,1265,0,1265,668,0xe">
            <v:path textboxrect="0,0,2345,1108"/>
            <v:imagedata gain="65536f" blacklevel="0f" gamma="0"/>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69" o:spid="_x0000_s1046" style="position:absolute;left:0;margin-left:-2.05pt;margin-top:47.15pt;height:32pt;width:235.7pt;mso-position-horizontal-relative:page;mso-position-vertical-relative:page;rotation:0f;z-index:251663360;" coordorigin="2001,880" coordsize="4715,641">
          <o:lock v:ext="edit" position="f" selection="f" grouping="f" rotation="f" cropping="f" text="f" aspectratio="f"/>
          <v:rect id="矩形 1076" o:spid="_x0000_s1069" style="position:absolute;left:2097;top:880;height:641;width:4619;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77" o:spid="_x0000_s1070" style="position:absolute;left:2001;top:1044;height:330;width:178;rotation:0f;" o:ole="f" fillcolor="#000000" filled="t" o:preferrelative="t" stroked="f" coordsize="21600,21600">
            <v:imagedata gain="65536f" blacklevel="0f" gamma="0"/>
            <o:lock v:ext="edit" position="f" selection="f" grouping="f" rotation="f" cropping="f" text="f" aspectratio="f"/>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r>
      <w:rPr>
        <w:rFonts w:ascii="等线" w:hAnsi="等线" w:eastAsia="等线" w:cs="黑体"/>
        <w:kern w:val="2"/>
        <w:sz w:val="18"/>
        <w:szCs w:val="18"/>
        <w:lang w:val="en-US" w:eastAsia="zh-CN" w:bidi="ar-SA"/>
      </w:rPr>
      <w:pict>
        <v:group id="组合 1073" o:spid="_x0000_s1048" style="position:absolute;left:0;margin-top:29.75pt;height:32pt;width:157.5pt;mso-position-horizontal:left;mso-position-horizontal-relative:page;mso-position-vertical-relative:page;rotation:0f;z-index:251665408;" coordorigin="1337,880" coordsize="3151,641">
          <o:lock v:ext="edit" position="f" selection="f" grouping="f" rotation="f" cropping="f" text="f" aspectratio="f"/>
          <v:rect id="矩形 1080" o:spid="_x0000_s1071" style="position:absolute;left:1401;top:880;height:641;width:3087;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rect>
          <v:rect id="矩形 1081" o:spid="_x0000_s1072" style="position:absolute;left:1337;top:1044;height:330;width:119;rotation:0f;" o:ole="f" fillcolor="#000000" filled="t" o:preferrelative="t" stroked="f" coordsize="21600,21600">
            <v:imagedata gain="65536f" blacklevel="0f" gamma="0"/>
            <o:lock v:ext="edit" position="f" selection="f" grouping="f" rotation="f" cropping="f" text="f" aspectratio="f"/>
          </v:rect>
        </v:group>
      </w:pict>
    </w:r>
    <w:r>
      <w:rPr>
        <w:rFonts w:ascii="等线" w:hAnsi="等线" w:eastAsia="等线" w:cs="黑体"/>
        <w:kern w:val="2"/>
        <w:sz w:val="18"/>
        <w:szCs w:val="18"/>
        <w:lang w:val="en-US" w:eastAsia="zh-CN" w:bidi="ar-SA"/>
      </w:rPr>
      <w:pict>
        <v:group id="组合 1076" o:spid="_x0000_s1047" style="position:absolute;left:0;margin-top:43.1pt;height:58.95pt;width:595.3pt;mso-position-horizontal:center;mso-position-horizontal-relative:page;mso-position-vertical-relative:page;rotation:0f;z-index:251664384;" coordorigin="881,505" coordsize="11931,1179">
          <o:lock v:ext="edit" position="f" selection="f" grouping="f" rotation="f" cropping="f" text="f" aspectratio="f"/>
          <v:rect id="矩形 1083" o:spid="_x0000_s1073" style="position:absolute;left:881;top:1538;height:146;width:11925;rotation:0f;" o:ole="f" fillcolor="#FFD966" filled="t" o:preferrelative="t" stroked="f" coordsize="21600,21600">
            <v:imagedata gain="65536f" blacklevel="0f" gamma="0"/>
            <o:lock v:ext="edit" position="f" selection="f" grouping="f" rotation="f" cropping="f" text="f" aspectratio="f"/>
          </v:rect>
          <v:shape id="未知" o:spid="_x0000_s1074" type="" style="position:absolute;left:10177;top:686;height:862;width:2619;rotation:0f;" o:ole="f" fillcolor="#000000" filled="t" o:preferrelative="t" stroked="f" coordorigin="0,0" coordsize="2619,862" path="m595,1l2619,0,2619,862,0,862,595,1xe">
            <v:path textboxrect="0,0,2619,862"/>
            <v:imagedata gain="65536f" blacklevel="0f" gamma="0"/>
            <o:lock v:ext="edit" position="f" selection="f" grouping="f" rotation="f" cropping="f" text="f" aspectratio="f"/>
          </v:shape>
          <v:shape id="未知" o:spid="_x0000_s1075" type="" style="position:absolute;left:10467;top:505;height:1108;width:2345;rotation:0f;" o:ole="f" fillcolor="#FFD966" filled="t" o:preferrelative="t" stroked="f" coordorigin="0,0" coordsize="2619,1265" path="m668,0l2619,10,2619,1265,0,1265,668,0xe">
            <v:path textboxrect="0,0,2345,1108"/>
            <v:imagedata gain="65536f" blacklevel="0f" gamma="0"/>
            <o:lock v:ext="edit" position="f" selection="f" grouping="f" rotation="f" cropping="f" text="f" aspectratio="f"/>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3"/>
      <w:numFmt w:val="chineseCounting"/>
      <w:suff w:val="nothing"/>
      <w:lvlText w:val="（%1）"/>
      <w:lvlJc w:val="left"/>
      <w:rPr>
        <w:rFonts w:hint="eastAsia"/>
      </w:rPr>
    </w:lvl>
  </w:abstractNum>
  <w:abstractNum w:abstractNumId="13">
    <w:nsid w:val="0000000D"/>
    <w:multiLevelType w:val="singleLevel"/>
    <w:tmpl w:val="0000000D"/>
    <w:lvl w:ilvl="0" w:tentative="1">
      <w:start w:val="2"/>
      <w:numFmt w:val="decimal"/>
      <w:suff w:val="space"/>
      <w:lvlText w:val="%1."/>
      <w:lvlJc w:val="left"/>
    </w:lvl>
  </w:abstractNum>
  <w:abstractNum w:abstractNumId="14">
    <w:nsid w:val="0000000E"/>
    <w:multiLevelType w:val="singleLevel"/>
    <w:tmpl w:val="0000000E"/>
    <w:lvl w:ilvl="0" w:tentative="1">
      <w:start w:val="1"/>
      <w:numFmt w:val="chineseCounting"/>
      <w:suff w:val="nothing"/>
      <w:lvlText w:val="（%1）"/>
      <w:lvlJc w:val="left"/>
    </w:lvl>
  </w:abstractNum>
  <w:num w:numId="1">
    <w:abstractNumId w:val="9"/>
  </w:num>
  <w:num w:numId="2">
    <w:abstractNumId w:val="14"/>
  </w:num>
  <w:num w:numId="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等线" w:hAnsi="等线" w:eastAsia="等线" w:cs="黑体"/>
      <w:kern w:val="2"/>
      <w:sz w:val="21"/>
      <w:szCs w:val="22"/>
      <w:lang w:val="en-US" w:eastAsia="zh-CN" w:bidi="ar-SA"/>
    </w:rPr>
  </w:style>
  <w:style w:type="paragraph" w:styleId="2">
    <w:name w:val="heading 1"/>
    <w:basedOn w:val="1"/>
    <w:next w:val="1"/>
    <w:pPr>
      <w:keepNext/>
      <w:keepLines/>
      <w:spacing w:before="340" w:after="330" w:line="578" w:lineRule="auto"/>
      <w:outlineLvl w:val="0"/>
    </w:pPr>
    <w:rPr>
      <w:b/>
      <w:bCs/>
      <w:kern w:val="44"/>
      <w:sz w:val="44"/>
      <w:szCs w:val="44"/>
    </w:rPr>
  </w:style>
  <w:style w:type="character" w:default="1" w:styleId="6">
    <w:name w:val="Default Paragraph Font"/>
  </w:style>
  <w:style w:type="paragraph" w:styleId="3">
    <w:name w:val="Body Text"/>
    <w:basedOn w:val="1"/>
    <w:rPr>
      <w:rFonts w:ascii="仿宋_GB2312" w:hAnsi="仿宋_GB2312" w:eastAsia="仿宋_GB2312" w:cs="仿宋_GB2312"/>
      <w:sz w:val="32"/>
      <w:szCs w:val="32"/>
      <w:lang w:val="zh-CN" w:eastAsia="zh-CN" w:bidi="zh-CN"/>
    </w:rPr>
  </w:style>
  <w:style w:type="paragraph" w:styleId="4">
    <w:name w:val="footer"/>
    <w:basedOn w:val="1"/>
    <w:pPr>
      <w:tabs>
        <w:tab w:val="center" w:pos="4153"/>
        <w:tab w:val="right" w:pos="8306"/>
      </w:tabs>
      <w:snapToGrid w:val="0"/>
      <w:jc w:val="left"/>
    </w:pPr>
    <w:rPr>
      <w:sz w:val="18"/>
      <w:szCs w:val="18"/>
    </w:rPr>
  </w:style>
  <w:style w:type="paragraph" w:styleId="5">
    <w:name w:val="header"/>
    <w:basedOn w:val="1"/>
    <w:link w:val="1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等线" w:hAnsi="等线" w:eastAsia="等线"/>
      <w:sz w:val="18"/>
      <w:szCs w:val="18"/>
    </w:rPr>
  </w:style>
  <w:style w:type="character" w:styleId="7">
    <w:name w:val="page number"/>
    <w:basedOn w:val="6"/>
    <w:rPr/>
  </w:style>
  <w:style w:type="paragraph" w:customStyle="1" w:styleId="8">
    <w:name w:val="List Paragraph"/>
    <w:basedOn w:val="1"/>
    <w:pPr>
      <w:spacing w:before="2"/>
      <w:ind w:left="119" w:right="434" w:firstLine="643"/>
      <w:jc w:val="both"/>
    </w:pPr>
    <w:rPr>
      <w:rFonts w:ascii="仿宋_GB2312" w:hAnsi="仿宋_GB2312" w:eastAsia="仿宋_GB2312" w:cs="仿宋_GB2312"/>
      <w:lang w:val="zh-CN" w:eastAsia="zh-CN" w:bidi="zh-CN"/>
    </w:rPr>
  </w:style>
  <w:style w:type="paragraph" w:customStyle="1" w:styleId="9">
    <w:name w:val="纯文本1"/>
    <w:basedOn w:val="1"/>
    <w:rPr>
      <w:rFonts w:ascii="宋体" w:hAnsi="Courier New" w:cs="Courier New"/>
      <w:szCs w:val="21"/>
    </w:rPr>
  </w:style>
  <w:style w:type="character" w:customStyle="1" w:styleId="10">
    <w:name w:val="页眉 字符"/>
    <w:basedOn w:val="6"/>
    <w:link w:val="5"/>
    <w:semiHidden/>
    <w:rPr>
      <w:rFonts w:ascii="等线" w:hAnsi="等线" w:eastAsia="等线"/>
      <w:sz w:val="18"/>
      <w:szCs w:val="18"/>
    </w:rPr>
  </w:style>
  <w:style w:type="character" w:customStyle="1" w:styleId="11">
    <w:name w:val="页脚 字符"/>
    <w:basedOn w:val="6"/>
    <w:link w:val="4"/>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 Type="http://schemas.openxmlformats.org/officeDocument/2006/relationships/styles" Target="styles.xml"/><Relationship Id="rId20" Type="http://schemas.openxmlformats.org/officeDocument/2006/relationships/footer" Target="footer6.xml"/><Relationship Id="rId21" Type="http://schemas.openxmlformats.org/officeDocument/2006/relationships/theme" Target="theme/theme1.xml"/><Relationship Id="rId22" Type="http://schemas.openxmlformats.org/officeDocument/2006/relationships/image" Target="media/image1.bmp"/><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customXml" Target="../customXml/item1.xml"/><Relationship Id="rId27"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textRotate="1"/>
    <customShpInfo spid="_x0000_s1028"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5" textRotate="1"/>
    <customShpInfo spid="_x0000_s1087" textRotate="1"/>
    <customShpInfo spid="_x0000_s1088" textRotate="1"/>
    <customShpInfo spid="_x0000_s1089" textRotate="1"/>
    <customShpInfo spid="_x0000_s109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2020-07-30T09:42:00Z</dcterms:created>
  <dc:creator>王明新TIAD</dc:creator>
  <cp:lastPrinted>2020-08-10T09:04:01Z</cp:lastPrinted>
  <dcterms:modified xsi:type="dcterms:W3CDTF">2020-08-10T11:32:10Z</dcterms:modified>
  <dc:title>王明新TIAD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