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407唐山市文学艺术界联合会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676.16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561.72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676.16</w:t>
            </w:r>
          </w:p>
        </w:tc>
        <w:tc>
          <w:tcPr>
            <w:tcW w:w="4535" w:type="dxa"/>
            <w:vAlign w:val="center"/>
          </w:tcPr>
          <w:p>
            <w:pPr>
              <w:pStyle w:val="15"/>
            </w:pPr>
            <w:r>
              <w:t>本年支出合计</w:t>
            </w:r>
          </w:p>
        </w:tc>
        <w:tc>
          <w:tcPr>
            <w:tcW w:w="2126" w:type="dxa"/>
            <w:vAlign w:val="center"/>
          </w:tcPr>
          <w:p>
            <w:pPr>
              <w:pStyle w:val="16"/>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676.16</w:t>
            </w:r>
          </w:p>
        </w:tc>
        <w:tc>
          <w:tcPr>
            <w:tcW w:w="4535" w:type="dxa"/>
            <w:vAlign w:val="center"/>
          </w:tcPr>
          <w:p>
            <w:pPr>
              <w:pStyle w:val="15"/>
            </w:pPr>
            <w:r>
              <w:t>支出总计</w:t>
            </w:r>
          </w:p>
        </w:tc>
        <w:tc>
          <w:tcPr>
            <w:tcW w:w="2126" w:type="dxa"/>
            <w:vAlign w:val="center"/>
          </w:tcPr>
          <w:p>
            <w:pPr>
              <w:pStyle w:val="16"/>
            </w:pPr>
            <w:r>
              <w:t>676.16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407唐山市文学艺术界联合会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676.16</w:t>
            </w:r>
          </w:p>
        </w:tc>
        <w:tc>
          <w:tcPr>
            <w:tcW w:w="1134" w:type="dxa"/>
            <w:vAlign w:val="center"/>
          </w:tcPr>
          <w:p>
            <w:pPr>
              <w:pStyle w:val="16"/>
            </w:pPr>
            <w:r>
              <w:t>676.16</w:t>
            </w:r>
          </w:p>
        </w:tc>
        <w:tc>
          <w:tcPr>
            <w:tcW w:w="1134" w:type="dxa"/>
            <w:vAlign w:val="center"/>
          </w:tcPr>
          <w:p>
            <w:pPr>
              <w:pStyle w:val="16"/>
            </w:pPr>
            <w:r>
              <w:t>676.16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r>
              <w:t>561.72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34.60</w:t>
            </w:r>
          </w:p>
        </w:tc>
        <w:tc>
          <w:tcPr>
            <w:tcW w:w="1134" w:type="dxa"/>
            <w:vAlign w:val="center"/>
          </w:tcPr>
          <w:p>
            <w:pPr>
              <w:pStyle w:val="12"/>
            </w:pPr>
            <w:r>
              <w:t>34.60</w:t>
            </w:r>
          </w:p>
        </w:tc>
        <w:tc>
          <w:tcPr>
            <w:tcW w:w="1134" w:type="dxa"/>
            <w:vAlign w:val="center"/>
          </w:tcPr>
          <w:p>
            <w:pPr>
              <w:pStyle w:val="12"/>
            </w:pPr>
            <w:r>
              <w:t>34.60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34.60</w:t>
            </w:r>
          </w:p>
        </w:tc>
        <w:tc>
          <w:tcPr>
            <w:tcW w:w="1134" w:type="dxa"/>
            <w:vAlign w:val="center"/>
          </w:tcPr>
          <w:p>
            <w:pPr>
              <w:pStyle w:val="12"/>
            </w:pPr>
            <w:r>
              <w:t>34.60</w:t>
            </w:r>
          </w:p>
        </w:tc>
        <w:tc>
          <w:tcPr>
            <w:tcW w:w="1134" w:type="dxa"/>
            <w:vAlign w:val="center"/>
          </w:tcPr>
          <w:p>
            <w:pPr>
              <w:pStyle w:val="12"/>
            </w:pPr>
            <w:r>
              <w:t>34.60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16.45</w:t>
            </w:r>
          </w:p>
        </w:tc>
        <w:tc>
          <w:tcPr>
            <w:tcW w:w="1134" w:type="dxa"/>
            <w:vAlign w:val="center"/>
          </w:tcPr>
          <w:p>
            <w:pPr>
              <w:pStyle w:val="12"/>
            </w:pPr>
            <w:r>
              <w:t>16.45</w:t>
            </w:r>
          </w:p>
        </w:tc>
        <w:tc>
          <w:tcPr>
            <w:tcW w:w="1134" w:type="dxa"/>
            <w:vAlign w:val="center"/>
          </w:tcPr>
          <w:p>
            <w:pPr>
              <w:pStyle w:val="12"/>
            </w:pPr>
            <w:r>
              <w:t>16.45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r>
              <w:t>18.15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r>
              <w:t>35.08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676.16</w:t>
            </w:r>
          </w:p>
        </w:tc>
        <w:tc>
          <w:tcPr>
            <w:tcW w:w="1361" w:type="dxa"/>
            <w:vAlign w:val="center"/>
          </w:tcPr>
          <w:p>
            <w:pPr>
              <w:pStyle w:val="16"/>
            </w:pPr>
            <w:r>
              <w:t>643.39</w:t>
            </w:r>
          </w:p>
        </w:tc>
        <w:tc>
          <w:tcPr>
            <w:tcW w:w="1361" w:type="dxa"/>
            <w:vAlign w:val="center"/>
          </w:tcPr>
          <w:p>
            <w:pPr>
              <w:pStyle w:val="16"/>
            </w:pPr>
            <w:r>
              <w:t>32.77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1.45</w:t>
            </w:r>
          </w:p>
        </w:tc>
        <w:tc>
          <w:tcPr>
            <w:tcW w:w="1361" w:type="dxa"/>
            <w:vAlign w:val="center"/>
          </w:tcPr>
          <w:p>
            <w:pPr>
              <w:pStyle w:val="12"/>
            </w:pPr>
            <w:r>
              <w:t>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1.45</w:t>
            </w:r>
          </w:p>
        </w:tc>
        <w:tc>
          <w:tcPr>
            <w:tcW w:w="1361" w:type="dxa"/>
            <w:vAlign w:val="center"/>
          </w:tcPr>
          <w:p>
            <w:pPr>
              <w:pStyle w:val="12"/>
            </w:pPr>
            <w:r>
              <w:t>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1.45</w:t>
            </w:r>
          </w:p>
        </w:tc>
        <w:tc>
          <w:tcPr>
            <w:tcW w:w="1361" w:type="dxa"/>
            <w:vAlign w:val="center"/>
          </w:tcPr>
          <w:p>
            <w:pPr>
              <w:pStyle w:val="12"/>
            </w:pPr>
            <w:r>
              <w:t>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561.72</w:t>
            </w:r>
          </w:p>
        </w:tc>
        <w:tc>
          <w:tcPr>
            <w:tcW w:w="1361" w:type="dxa"/>
            <w:vAlign w:val="center"/>
          </w:tcPr>
          <w:p>
            <w:pPr>
              <w:pStyle w:val="12"/>
            </w:pPr>
            <w:r>
              <w:t>528.95</w:t>
            </w:r>
          </w:p>
        </w:tc>
        <w:tc>
          <w:tcPr>
            <w:tcW w:w="1361" w:type="dxa"/>
            <w:vAlign w:val="center"/>
          </w:tcPr>
          <w:p>
            <w:pPr>
              <w:pStyle w:val="12"/>
            </w:pPr>
            <w:r>
              <w:t>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561.72</w:t>
            </w:r>
          </w:p>
        </w:tc>
        <w:tc>
          <w:tcPr>
            <w:tcW w:w="1361" w:type="dxa"/>
            <w:vAlign w:val="center"/>
          </w:tcPr>
          <w:p>
            <w:pPr>
              <w:pStyle w:val="12"/>
            </w:pPr>
            <w:r>
              <w:t>528.95</w:t>
            </w:r>
          </w:p>
        </w:tc>
        <w:tc>
          <w:tcPr>
            <w:tcW w:w="1361" w:type="dxa"/>
            <w:vAlign w:val="center"/>
          </w:tcPr>
          <w:p>
            <w:pPr>
              <w:pStyle w:val="12"/>
            </w:pPr>
            <w:r>
              <w:t>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561.72</w:t>
            </w:r>
          </w:p>
        </w:tc>
        <w:tc>
          <w:tcPr>
            <w:tcW w:w="1361" w:type="dxa"/>
            <w:vAlign w:val="center"/>
          </w:tcPr>
          <w:p>
            <w:pPr>
              <w:pStyle w:val="12"/>
            </w:pPr>
            <w:r>
              <w:t>528.95</w:t>
            </w:r>
          </w:p>
        </w:tc>
        <w:tc>
          <w:tcPr>
            <w:tcW w:w="1361" w:type="dxa"/>
            <w:vAlign w:val="center"/>
          </w:tcPr>
          <w:p>
            <w:pPr>
              <w:pStyle w:val="12"/>
            </w:pPr>
            <w:r>
              <w:t>32.77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43.31</w:t>
            </w:r>
          </w:p>
        </w:tc>
        <w:tc>
          <w:tcPr>
            <w:tcW w:w="1361" w:type="dxa"/>
            <w:vAlign w:val="center"/>
          </w:tcPr>
          <w:p>
            <w:pPr>
              <w:pStyle w:val="12"/>
            </w:pPr>
            <w:r>
              <w:t>43.31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43.31</w:t>
            </w:r>
          </w:p>
        </w:tc>
        <w:tc>
          <w:tcPr>
            <w:tcW w:w="1361" w:type="dxa"/>
            <w:vAlign w:val="center"/>
          </w:tcPr>
          <w:p>
            <w:pPr>
              <w:pStyle w:val="12"/>
            </w:pPr>
            <w:r>
              <w:t>43.31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43.31</w:t>
            </w:r>
          </w:p>
        </w:tc>
        <w:tc>
          <w:tcPr>
            <w:tcW w:w="1361" w:type="dxa"/>
            <w:vAlign w:val="center"/>
          </w:tcPr>
          <w:p>
            <w:pPr>
              <w:pStyle w:val="12"/>
            </w:pPr>
            <w:r>
              <w:t>43.31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34.60</w:t>
            </w:r>
          </w:p>
        </w:tc>
        <w:tc>
          <w:tcPr>
            <w:tcW w:w="1361" w:type="dxa"/>
            <w:vAlign w:val="center"/>
          </w:tcPr>
          <w:p>
            <w:pPr>
              <w:pStyle w:val="12"/>
            </w:pPr>
            <w:r>
              <w:t>34.60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34.60</w:t>
            </w:r>
          </w:p>
        </w:tc>
        <w:tc>
          <w:tcPr>
            <w:tcW w:w="1361" w:type="dxa"/>
            <w:vAlign w:val="center"/>
          </w:tcPr>
          <w:p>
            <w:pPr>
              <w:pStyle w:val="12"/>
            </w:pPr>
            <w:r>
              <w:t>34.60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16.45</w:t>
            </w:r>
          </w:p>
        </w:tc>
        <w:tc>
          <w:tcPr>
            <w:tcW w:w="1361" w:type="dxa"/>
            <w:vAlign w:val="center"/>
          </w:tcPr>
          <w:p>
            <w:pPr>
              <w:pStyle w:val="12"/>
            </w:pPr>
            <w:r>
              <w:t>16.45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18.15</w:t>
            </w:r>
          </w:p>
        </w:tc>
        <w:tc>
          <w:tcPr>
            <w:tcW w:w="1361" w:type="dxa"/>
            <w:vAlign w:val="center"/>
          </w:tcPr>
          <w:p>
            <w:pPr>
              <w:pStyle w:val="12"/>
            </w:pPr>
            <w:r>
              <w:t>18.15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35.08</w:t>
            </w:r>
          </w:p>
        </w:tc>
        <w:tc>
          <w:tcPr>
            <w:tcW w:w="1361" w:type="dxa"/>
            <w:vAlign w:val="center"/>
          </w:tcPr>
          <w:p>
            <w:pPr>
              <w:pStyle w:val="12"/>
            </w:pPr>
            <w:r>
              <w:t>35.08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35.08</w:t>
            </w:r>
          </w:p>
        </w:tc>
        <w:tc>
          <w:tcPr>
            <w:tcW w:w="1361" w:type="dxa"/>
            <w:vAlign w:val="center"/>
          </w:tcPr>
          <w:p>
            <w:pPr>
              <w:pStyle w:val="12"/>
            </w:pPr>
            <w:r>
              <w:t>35.08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35.08</w:t>
            </w:r>
          </w:p>
        </w:tc>
        <w:tc>
          <w:tcPr>
            <w:tcW w:w="1361" w:type="dxa"/>
            <w:vAlign w:val="center"/>
          </w:tcPr>
          <w:p>
            <w:pPr>
              <w:pStyle w:val="12"/>
            </w:pPr>
            <w:r>
              <w:t>35.08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676.16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1.45</w:t>
            </w:r>
          </w:p>
        </w:tc>
        <w:tc>
          <w:tcPr>
            <w:tcW w:w="1474" w:type="dxa"/>
            <w:vAlign w:val="center"/>
          </w:tcPr>
          <w:p>
            <w:pPr>
              <w:pStyle w:val="12"/>
            </w:pPr>
            <w:r>
              <w:t>1.45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561.72</w:t>
            </w:r>
          </w:p>
        </w:tc>
        <w:tc>
          <w:tcPr>
            <w:tcW w:w="1474" w:type="dxa"/>
            <w:vAlign w:val="center"/>
          </w:tcPr>
          <w:p>
            <w:pPr>
              <w:pStyle w:val="12"/>
            </w:pPr>
            <w:r>
              <w:t>561.72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43.31</w:t>
            </w:r>
          </w:p>
        </w:tc>
        <w:tc>
          <w:tcPr>
            <w:tcW w:w="1474" w:type="dxa"/>
            <w:vAlign w:val="center"/>
          </w:tcPr>
          <w:p>
            <w:pPr>
              <w:pStyle w:val="12"/>
            </w:pPr>
            <w:r>
              <w:t>43.31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34.60</w:t>
            </w:r>
          </w:p>
        </w:tc>
        <w:tc>
          <w:tcPr>
            <w:tcW w:w="1474" w:type="dxa"/>
            <w:vAlign w:val="center"/>
          </w:tcPr>
          <w:p>
            <w:pPr>
              <w:pStyle w:val="12"/>
            </w:pPr>
            <w:r>
              <w:t>34.60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35.08</w:t>
            </w:r>
          </w:p>
        </w:tc>
        <w:tc>
          <w:tcPr>
            <w:tcW w:w="1474" w:type="dxa"/>
            <w:vAlign w:val="center"/>
          </w:tcPr>
          <w:p>
            <w:pPr>
              <w:pStyle w:val="12"/>
            </w:pPr>
            <w:r>
              <w:t>35.08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676.16</w:t>
            </w:r>
          </w:p>
        </w:tc>
        <w:tc>
          <w:tcPr>
            <w:tcW w:w="3402" w:type="dxa"/>
            <w:vAlign w:val="center"/>
          </w:tcPr>
          <w:p>
            <w:pPr>
              <w:pStyle w:val="15"/>
            </w:pPr>
            <w:r>
              <w:t>本年支出合计</w:t>
            </w:r>
          </w:p>
        </w:tc>
        <w:tc>
          <w:tcPr>
            <w:tcW w:w="1474" w:type="dxa"/>
            <w:vAlign w:val="center"/>
          </w:tcPr>
          <w:p>
            <w:pPr>
              <w:pStyle w:val="16"/>
            </w:pPr>
            <w:r>
              <w:t>676.16</w:t>
            </w:r>
          </w:p>
        </w:tc>
        <w:tc>
          <w:tcPr>
            <w:tcW w:w="1474" w:type="dxa"/>
            <w:vAlign w:val="center"/>
          </w:tcPr>
          <w:p>
            <w:pPr>
              <w:pStyle w:val="16"/>
            </w:pPr>
            <w:r>
              <w:t>676.16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676.16</w:t>
            </w:r>
          </w:p>
        </w:tc>
        <w:tc>
          <w:tcPr>
            <w:tcW w:w="3402" w:type="dxa"/>
            <w:vAlign w:val="center"/>
          </w:tcPr>
          <w:p>
            <w:pPr>
              <w:pStyle w:val="15"/>
            </w:pPr>
            <w:r>
              <w:t>支出总计</w:t>
            </w:r>
          </w:p>
        </w:tc>
        <w:tc>
          <w:tcPr>
            <w:tcW w:w="1474" w:type="dxa"/>
            <w:vAlign w:val="center"/>
          </w:tcPr>
          <w:p>
            <w:pPr>
              <w:pStyle w:val="16"/>
            </w:pPr>
            <w:r>
              <w:t>676.16</w:t>
            </w:r>
          </w:p>
        </w:tc>
        <w:tc>
          <w:tcPr>
            <w:tcW w:w="1474" w:type="dxa"/>
            <w:vAlign w:val="center"/>
          </w:tcPr>
          <w:p>
            <w:pPr>
              <w:pStyle w:val="16"/>
            </w:pPr>
            <w:r>
              <w:t>676.16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676.16</w:t>
            </w:r>
          </w:p>
        </w:tc>
        <w:tc>
          <w:tcPr>
            <w:tcW w:w="2551" w:type="dxa"/>
            <w:vAlign w:val="center"/>
          </w:tcPr>
          <w:p>
            <w:pPr>
              <w:pStyle w:val="16"/>
            </w:pPr>
            <w:r>
              <w:t>643.39</w:t>
            </w:r>
          </w:p>
        </w:tc>
        <w:tc>
          <w:tcPr>
            <w:tcW w:w="2551" w:type="dxa"/>
            <w:vAlign w:val="center"/>
          </w:tcPr>
          <w:p>
            <w:pPr>
              <w:pStyle w:val="16"/>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1.45</w:t>
            </w:r>
          </w:p>
        </w:tc>
        <w:tc>
          <w:tcPr>
            <w:tcW w:w="2551" w:type="dxa"/>
            <w:vAlign w:val="center"/>
          </w:tcPr>
          <w:p>
            <w:pPr>
              <w:pStyle w:val="12"/>
            </w:pPr>
            <w:r>
              <w:t>1.45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561.72</w:t>
            </w:r>
          </w:p>
        </w:tc>
        <w:tc>
          <w:tcPr>
            <w:tcW w:w="2551" w:type="dxa"/>
            <w:vAlign w:val="center"/>
          </w:tcPr>
          <w:p>
            <w:pPr>
              <w:pStyle w:val="12"/>
            </w:pPr>
            <w:r>
              <w:t>528.95</w:t>
            </w:r>
          </w:p>
        </w:tc>
        <w:tc>
          <w:tcPr>
            <w:tcW w:w="2551" w:type="dxa"/>
            <w:vAlign w:val="center"/>
          </w:tcPr>
          <w:p>
            <w:pPr>
              <w:pStyle w:val="12"/>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561.72</w:t>
            </w:r>
          </w:p>
        </w:tc>
        <w:tc>
          <w:tcPr>
            <w:tcW w:w="2551" w:type="dxa"/>
            <w:vAlign w:val="center"/>
          </w:tcPr>
          <w:p>
            <w:pPr>
              <w:pStyle w:val="12"/>
            </w:pPr>
            <w:r>
              <w:t>528.95</w:t>
            </w:r>
          </w:p>
        </w:tc>
        <w:tc>
          <w:tcPr>
            <w:tcW w:w="2551" w:type="dxa"/>
            <w:vAlign w:val="center"/>
          </w:tcPr>
          <w:p>
            <w:pPr>
              <w:pStyle w:val="12"/>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561.72</w:t>
            </w:r>
          </w:p>
        </w:tc>
        <w:tc>
          <w:tcPr>
            <w:tcW w:w="2551" w:type="dxa"/>
            <w:vAlign w:val="center"/>
          </w:tcPr>
          <w:p>
            <w:pPr>
              <w:pStyle w:val="12"/>
            </w:pPr>
            <w:r>
              <w:t>528.95</w:t>
            </w:r>
          </w:p>
        </w:tc>
        <w:tc>
          <w:tcPr>
            <w:tcW w:w="2551" w:type="dxa"/>
            <w:vAlign w:val="center"/>
          </w:tcPr>
          <w:p>
            <w:pPr>
              <w:pStyle w:val="12"/>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34.60</w:t>
            </w:r>
          </w:p>
        </w:tc>
        <w:tc>
          <w:tcPr>
            <w:tcW w:w="2551" w:type="dxa"/>
            <w:vAlign w:val="center"/>
          </w:tcPr>
          <w:p>
            <w:pPr>
              <w:pStyle w:val="12"/>
            </w:pPr>
            <w:r>
              <w:t>34.60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34.60</w:t>
            </w:r>
          </w:p>
        </w:tc>
        <w:tc>
          <w:tcPr>
            <w:tcW w:w="2551" w:type="dxa"/>
            <w:vAlign w:val="center"/>
          </w:tcPr>
          <w:p>
            <w:pPr>
              <w:pStyle w:val="12"/>
            </w:pPr>
            <w:r>
              <w:t>34.60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16.45</w:t>
            </w:r>
          </w:p>
        </w:tc>
        <w:tc>
          <w:tcPr>
            <w:tcW w:w="2551" w:type="dxa"/>
            <w:vAlign w:val="center"/>
          </w:tcPr>
          <w:p>
            <w:pPr>
              <w:pStyle w:val="12"/>
            </w:pPr>
            <w:r>
              <w:t>16.45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35.08</w:t>
            </w:r>
          </w:p>
        </w:tc>
        <w:tc>
          <w:tcPr>
            <w:tcW w:w="2551" w:type="dxa"/>
            <w:vAlign w:val="center"/>
          </w:tcPr>
          <w:p>
            <w:pPr>
              <w:pStyle w:val="12"/>
            </w:pPr>
            <w:r>
              <w:t>35.08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35.08</w:t>
            </w:r>
          </w:p>
        </w:tc>
        <w:tc>
          <w:tcPr>
            <w:tcW w:w="2551" w:type="dxa"/>
            <w:vAlign w:val="center"/>
          </w:tcPr>
          <w:p>
            <w:pPr>
              <w:pStyle w:val="12"/>
            </w:pPr>
            <w:r>
              <w:t>35.08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35.08</w:t>
            </w:r>
          </w:p>
        </w:tc>
        <w:tc>
          <w:tcPr>
            <w:tcW w:w="2551" w:type="dxa"/>
            <w:vAlign w:val="center"/>
          </w:tcPr>
          <w:p>
            <w:pPr>
              <w:pStyle w:val="12"/>
            </w:pPr>
            <w:r>
              <w:t>35.08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643.39</w:t>
            </w:r>
          </w:p>
        </w:tc>
        <w:tc>
          <w:tcPr>
            <w:tcW w:w="2551" w:type="dxa"/>
            <w:vAlign w:val="center"/>
          </w:tcPr>
          <w:p>
            <w:pPr>
              <w:pStyle w:val="16"/>
            </w:pPr>
            <w:r>
              <w:t>596.95</w:t>
            </w:r>
          </w:p>
        </w:tc>
        <w:tc>
          <w:tcPr>
            <w:tcW w:w="2551" w:type="dxa"/>
            <w:vAlign w:val="center"/>
          </w:tcPr>
          <w:p>
            <w:pPr>
              <w:pStyle w:val="16"/>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431.37</w:t>
            </w:r>
          </w:p>
        </w:tc>
        <w:tc>
          <w:tcPr>
            <w:tcW w:w="2551" w:type="dxa"/>
            <w:vAlign w:val="center"/>
          </w:tcPr>
          <w:p>
            <w:pPr>
              <w:pStyle w:val="12"/>
            </w:pPr>
            <w:r>
              <w:t>431.37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116.11</w:t>
            </w:r>
          </w:p>
        </w:tc>
        <w:tc>
          <w:tcPr>
            <w:tcW w:w="2551" w:type="dxa"/>
            <w:vAlign w:val="center"/>
          </w:tcPr>
          <w:p>
            <w:pPr>
              <w:pStyle w:val="12"/>
            </w:pPr>
            <w:r>
              <w:t>116.11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74.11</w:t>
            </w:r>
          </w:p>
        </w:tc>
        <w:tc>
          <w:tcPr>
            <w:tcW w:w="2551" w:type="dxa"/>
            <w:vAlign w:val="center"/>
          </w:tcPr>
          <w:p>
            <w:pPr>
              <w:pStyle w:val="12"/>
            </w:pPr>
            <w:r>
              <w:t>74.11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50.12</w:t>
            </w:r>
          </w:p>
        </w:tc>
        <w:tc>
          <w:tcPr>
            <w:tcW w:w="2551" w:type="dxa"/>
            <w:vAlign w:val="center"/>
          </w:tcPr>
          <w:p>
            <w:pPr>
              <w:pStyle w:val="12"/>
            </w:pPr>
            <w:r>
              <w:t>50.12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76.23</w:t>
            </w:r>
          </w:p>
        </w:tc>
        <w:tc>
          <w:tcPr>
            <w:tcW w:w="2551" w:type="dxa"/>
            <w:vAlign w:val="center"/>
          </w:tcPr>
          <w:p>
            <w:pPr>
              <w:pStyle w:val="12"/>
            </w:pPr>
            <w:r>
              <w:t>76.23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16.45</w:t>
            </w:r>
          </w:p>
        </w:tc>
        <w:tc>
          <w:tcPr>
            <w:tcW w:w="2551" w:type="dxa"/>
            <w:vAlign w:val="center"/>
          </w:tcPr>
          <w:p>
            <w:pPr>
              <w:pStyle w:val="12"/>
            </w:pPr>
            <w:r>
              <w:t>16.45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18.15</w:t>
            </w:r>
          </w:p>
        </w:tc>
        <w:tc>
          <w:tcPr>
            <w:tcW w:w="2551" w:type="dxa"/>
            <w:vAlign w:val="center"/>
          </w:tcPr>
          <w:p>
            <w:pPr>
              <w:pStyle w:val="12"/>
            </w:pPr>
            <w:r>
              <w:t>18.15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1.81</w:t>
            </w:r>
          </w:p>
        </w:tc>
        <w:tc>
          <w:tcPr>
            <w:tcW w:w="2551" w:type="dxa"/>
            <w:vAlign w:val="center"/>
          </w:tcPr>
          <w:p>
            <w:pPr>
              <w:pStyle w:val="12"/>
            </w:pPr>
            <w:r>
              <w:t>1.81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35.08</w:t>
            </w:r>
          </w:p>
        </w:tc>
        <w:tc>
          <w:tcPr>
            <w:tcW w:w="2551" w:type="dxa"/>
            <w:vAlign w:val="center"/>
          </w:tcPr>
          <w:p>
            <w:pPr>
              <w:pStyle w:val="12"/>
            </w:pPr>
            <w:r>
              <w:t>35.08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46.44</w:t>
            </w:r>
          </w:p>
        </w:tc>
        <w:tc>
          <w:tcPr>
            <w:tcW w:w="2551" w:type="dxa"/>
            <w:vAlign w:val="center"/>
          </w:tcPr>
          <w:p>
            <w:pPr>
              <w:pStyle w:val="12"/>
            </w:pPr>
          </w:p>
        </w:tc>
        <w:tc>
          <w:tcPr>
            <w:tcW w:w="2551" w:type="dxa"/>
            <w:vAlign w:val="center"/>
          </w:tcPr>
          <w:p>
            <w:pPr>
              <w:pStyle w:val="12"/>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1.81</w:t>
            </w:r>
          </w:p>
        </w:tc>
        <w:tc>
          <w:tcPr>
            <w:tcW w:w="2551" w:type="dxa"/>
            <w:vAlign w:val="center"/>
          </w:tcPr>
          <w:p>
            <w:pPr>
              <w:pStyle w:val="12"/>
            </w:pPr>
          </w:p>
        </w:tc>
        <w:tc>
          <w:tcPr>
            <w:tcW w:w="2551" w:type="dxa"/>
            <w:vAlign w:val="center"/>
          </w:tcPr>
          <w:p>
            <w:pPr>
              <w:pStyle w:val="12"/>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8.52</w:t>
            </w:r>
          </w:p>
        </w:tc>
        <w:tc>
          <w:tcPr>
            <w:tcW w:w="2551" w:type="dxa"/>
            <w:vAlign w:val="center"/>
          </w:tcPr>
          <w:p>
            <w:pPr>
              <w:pStyle w:val="12"/>
            </w:pPr>
          </w:p>
        </w:tc>
        <w:tc>
          <w:tcPr>
            <w:tcW w:w="2551" w:type="dxa"/>
            <w:vAlign w:val="center"/>
          </w:tcPr>
          <w:p>
            <w:pPr>
              <w:pStyle w:val="12"/>
            </w:pPr>
            <w:r>
              <w:t>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1.30</w:t>
            </w:r>
          </w:p>
        </w:tc>
        <w:tc>
          <w:tcPr>
            <w:tcW w:w="2551" w:type="dxa"/>
            <w:vAlign w:val="center"/>
          </w:tcPr>
          <w:p>
            <w:pPr>
              <w:pStyle w:val="12"/>
            </w:pPr>
          </w:p>
        </w:tc>
        <w:tc>
          <w:tcPr>
            <w:tcW w:w="2551"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3.64</w:t>
            </w:r>
          </w:p>
        </w:tc>
        <w:tc>
          <w:tcPr>
            <w:tcW w:w="2551" w:type="dxa"/>
            <w:vAlign w:val="center"/>
          </w:tcPr>
          <w:p>
            <w:pPr>
              <w:pStyle w:val="12"/>
            </w:pPr>
          </w:p>
        </w:tc>
        <w:tc>
          <w:tcPr>
            <w:tcW w:w="2551" w:type="dxa"/>
            <w:vAlign w:val="center"/>
          </w:tcPr>
          <w:p>
            <w:pPr>
              <w:pStyle w:val="12"/>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1.45</w:t>
            </w:r>
          </w:p>
        </w:tc>
        <w:tc>
          <w:tcPr>
            <w:tcW w:w="2551" w:type="dxa"/>
            <w:vAlign w:val="center"/>
          </w:tcPr>
          <w:p>
            <w:pPr>
              <w:pStyle w:val="12"/>
            </w:pPr>
          </w:p>
        </w:tc>
        <w:tc>
          <w:tcPr>
            <w:tcW w:w="2551" w:type="dxa"/>
            <w:vAlign w:val="center"/>
          </w:tcPr>
          <w:p>
            <w:pPr>
              <w:pStyle w:val="12"/>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2.48</w:t>
            </w:r>
          </w:p>
        </w:tc>
        <w:tc>
          <w:tcPr>
            <w:tcW w:w="2551" w:type="dxa"/>
            <w:vAlign w:val="center"/>
          </w:tcPr>
          <w:p>
            <w:pPr>
              <w:pStyle w:val="12"/>
            </w:pPr>
          </w:p>
        </w:tc>
        <w:tc>
          <w:tcPr>
            <w:tcW w:w="2551" w:type="dxa"/>
            <w:vAlign w:val="center"/>
          </w:tcPr>
          <w:p>
            <w:pPr>
              <w:pStyle w:val="12"/>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2.91</w:t>
            </w:r>
          </w:p>
        </w:tc>
        <w:tc>
          <w:tcPr>
            <w:tcW w:w="2551" w:type="dxa"/>
            <w:vAlign w:val="center"/>
          </w:tcPr>
          <w:p>
            <w:pPr>
              <w:pStyle w:val="12"/>
            </w:pPr>
          </w:p>
        </w:tc>
        <w:tc>
          <w:tcPr>
            <w:tcW w:w="2551" w:type="dxa"/>
            <w:vAlign w:val="center"/>
          </w:tcPr>
          <w:p>
            <w:pPr>
              <w:pStyle w:val="12"/>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11.50</w:t>
            </w:r>
          </w:p>
        </w:tc>
        <w:tc>
          <w:tcPr>
            <w:tcW w:w="2551" w:type="dxa"/>
            <w:vAlign w:val="center"/>
          </w:tcPr>
          <w:p>
            <w:pPr>
              <w:pStyle w:val="12"/>
            </w:pPr>
          </w:p>
        </w:tc>
        <w:tc>
          <w:tcPr>
            <w:tcW w:w="2551"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7.85</w:t>
            </w:r>
          </w:p>
        </w:tc>
        <w:tc>
          <w:tcPr>
            <w:tcW w:w="2551" w:type="dxa"/>
            <w:vAlign w:val="center"/>
          </w:tcPr>
          <w:p>
            <w:pPr>
              <w:pStyle w:val="12"/>
            </w:pPr>
          </w:p>
        </w:tc>
        <w:tc>
          <w:tcPr>
            <w:tcW w:w="2551" w:type="dxa"/>
            <w:vAlign w:val="center"/>
          </w:tcPr>
          <w:p>
            <w:pPr>
              <w:pStyle w:val="12"/>
            </w:pPr>
            <w:r>
              <w:t>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165.58</w:t>
            </w:r>
          </w:p>
        </w:tc>
        <w:tc>
          <w:tcPr>
            <w:tcW w:w="2551" w:type="dxa"/>
            <w:vAlign w:val="center"/>
          </w:tcPr>
          <w:p>
            <w:pPr>
              <w:pStyle w:val="12"/>
            </w:pPr>
            <w:r>
              <w:t>165.58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10.03</w:t>
            </w:r>
          </w:p>
        </w:tc>
        <w:tc>
          <w:tcPr>
            <w:tcW w:w="2551" w:type="dxa"/>
            <w:vAlign w:val="center"/>
          </w:tcPr>
          <w:p>
            <w:pPr>
              <w:pStyle w:val="12"/>
            </w:pPr>
            <w:r>
              <w:t>10.03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135.88</w:t>
            </w:r>
          </w:p>
        </w:tc>
        <w:tc>
          <w:tcPr>
            <w:tcW w:w="2551" w:type="dxa"/>
            <w:vAlign w:val="center"/>
          </w:tcPr>
          <w:p>
            <w:pPr>
              <w:pStyle w:val="12"/>
            </w:pPr>
            <w:r>
              <w:t>135.88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19.64</w:t>
            </w:r>
          </w:p>
        </w:tc>
        <w:tc>
          <w:tcPr>
            <w:tcW w:w="2551" w:type="dxa"/>
            <w:vAlign w:val="center"/>
          </w:tcPr>
          <w:p>
            <w:pPr>
              <w:pStyle w:val="12"/>
            </w:pPr>
            <w:r>
              <w:t>19.64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407唐山市文学艺术界联合会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4.98</w:t>
            </w:r>
          </w:p>
        </w:tc>
        <w:tc>
          <w:tcPr>
            <w:tcW w:w="2381" w:type="dxa"/>
            <w:vAlign w:val="center"/>
          </w:tcPr>
          <w:p>
            <w:pPr>
              <w:pStyle w:val="16"/>
            </w:pPr>
            <w:r>
              <w:t>4.98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4.98</w:t>
            </w:r>
          </w:p>
        </w:tc>
        <w:tc>
          <w:tcPr>
            <w:tcW w:w="2381" w:type="dxa"/>
            <w:vAlign w:val="center"/>
          </w:tcPr>
          <w:p>
            <w:pPr>
              <w:pStyle w:val="12"/>
            </w:pPr>
            <w:r>
              <w:t>4.98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4.80</w:t>
            </w:r>
          </w:p>
        </w:tc>
        <w:tc>
          <w:tcPr>
            <w:tcW w:w="2381" w:type="dxa"/>
            <w:vAlign w:val="center"/>
          </w:tcPr>
          <w:p>
            <w:pPr>
              <w:pStyle w:val="12"/>
            </w:pPr>
            <w:r>
              <w:t>4.80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4.80</w:t>
            </w:r>
          </w:p>
        </w:tc>
        <w:tc>
          <w:tcPr>
            <w:tcW w:w="2381" w:type="dxa"/>
            <w:vAlign w:val="center"/>
          </w:tcPr>
          <w:p>
            <w:pPr>
              <w:pStyle w:val="12"/>
            </w:pPr>
            <w:r>
              <w:t>4.80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0.18</w:t>
            </w:r>
          </w:p>
        </w:tc>
        <w:tc>
          <w:tcPr>
            <w:tcW w:w="2381" w:type="dxa"/>
            <w:vAlign w:val="center"/>
          </w:tcPr>
          <w:p>
            <w:pPr>
              <w:pStyle w:val="12"/>
            </w:pPr>
            <w:r>
              <w:t>0.18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唐山市文学艺术界联合会2025年部门预算信息公开情况说明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唐山市文学艺术界联合会2025年部门预算信息公开情况说明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按照《中华人民共和国预算法》、《地方预决算公开操作规程》和《关于进一步推进预算公开工作的实施意见》规定，现将唐山市文学艺术界联合会2025年部门预算公开如下：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根据《唐山市文学艺术界联合会职能配置、内设机构和人员编制规定》，唐山市文学艺术界联合会的主要职责是：</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1.高举习近平新时代中国特色</w:t>
      </w:r>
      <w:r>
        <w:rPr>
          <w:rFonts w:hint="eastAsia"/>
          <w:lang w:eastAsia="zh-CN"/>
        </w:rPr>
        <w:t>社会</w:t>
      </w:r>
      <w:r>
        <w:t>主义思想伟大旗帜，全面贯彻党的二十大精神，科学把握新时代党对群团工作的新要求，增强“四个意识”</w:t>
      </w:r>
      <w:r>
        <w:rPr>
          <w:rFonts w:hint="eastAsia"/>
          <w:lang w:eastAsia="zh-CN"/>
        </w:rPr>
        <w:t>、</w:t>
      </w:r>
      <w:r>
        <w:t>坚定“四个自信”</w:t>
      </w:r>
      <w:r>
        <w:rPr>
          <w:rFonts w:hint="eastAsia"/>
          <w:lang w:eastAsia="zh-CN"/>
        </w:rPr>
        <w:t>、</w:t>
      </w:r>
      <w:r>
        <w:t>做到“两个维护”，以全面深化改革为契机，切实保持和增强文联组织的政治性、先进性、群众性，团结带领广大文艺工作者，坚持以人民为中心的创作导向，坚持“二为”方向和“双百”方针，奋发进取，守正创新，推动唐山文</w:t>
      </w:r>
      <w:r>
        <w:rPr>
          <w:rFonts w:hint="eastAsia"/>
          <w:lang w:eastAsia="zh-CN"/>
        </w:rPr>
        <w:t>艺</w:t>
      </w:r>
      <w:r>
        <w:t>事业繁荣发展，为我市实现“三个努力建成”目标提供良好的文化条件。</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2.组织开展文艺创作和精品生产，搞好文艺理论研究和文艺评论等活动。负责市文联的会员发展和向省、国家各协会推荐会员工作。</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3.加强党和非党、专业和非专业文艺工作者的联系以及对青少年文艺工作者的培养工作。指导县（市、区</w:t>
      </w:r>
      <w:r>
        <w:rPr>
          <w:rFonts w:hint="eastAsia"/>
          <w:lang w:eastAsia="zh-CN"/>
        </w:rPr>
        <w:t>）</w:t>
      </w:r>
      <w:r>
        <w:t>文联和厂企文联开展活动。维护团体会员、文艺家、文艺工作者的知识产权等合法权益。</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4.负责国际、国内民间文艺交流工作，以民间文艺团体名义接待国内外民间文艺团体来访。</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5.承办市委、市政府交办的其</w:t>
      </w:r>
      <w:r>
        <w:rPr>
          <w:rFonts w:hint="eastAsia"/>
          <w:lang w:eastAsia="zh-CN"/>
        </w:rPr>
        <w:t>他</w:t>
      </w:r>
      <w:r>
        <w:t>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唐山市文学艺术界联合会本级</w:t>
            </w:r>
          </w:p>
        </w:tc>
        <w:tc>
          <w:tcPr>
            <w:tcW w:w="1843" w:type="dxa"/>
            <w:vAlign w:val="center"/>
          </w:tcPr>
          <w:p>
            <w:pPr>
              <w:pStyle w:val="14"/>
            </w:pPr>
            <w:r>
              <w:t>事业</w:t>
            </w:r>
          </w:p>
        </w:tc>
        <w:tc>
          <w:tcPr>
            <w:tcW w:w="2126" w:type="dxa"/>
            <w:vAlign w:val="center"/>
          </w:tcPr>
          <w:p>
            <w:pPr>
              <w:pStyle w:val="14"/>
            </w:pPr>
            <w:r>
              <w:t>正处（县）级</w:t>
            </w:r>
          </w:p>
        </w:tc>
        <w:tc>
          <w:tcPr>
            <w:tcW w:w="3827"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按照预算管理有关规定，目前部门预算的编制实行综合预算管理，即全部收入和支出都反映在预算中。唐山市文学艺术界联合会</w:t>
      </w:r>
      <w:r>
        <w:rPr>
          <w:rFonts w:hint="eastAsia"/>
          <w:lang w:eastAsia="zh-CN"/>
        </w:rPr>
        <w:t>本级</w:t>
      </w:r>
      <w:r>
        <w:t>的收支包含在部门预算中。</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2025年预算收入676.16万元，其中：一般公共预算收入676.16万元，基金预算收入0.00万元，国有资本经营预算收入0.00万元，财政专户核拨收入0.00万元，单位资金收入0.00万元，上年结转结余0.00万元。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2025年支出预算676.16万元，其中基本支出643.39万元，包括人员经费596.95万元和日常公用经费46.44万元；项目支出32.77万元，主要为唐山文学16.77万元，写作营9.00万元，增强“四力”夯实基层文联基础服务新时代文明实践中心建设理论业务培训活动7万元。</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2025年预算收支安排676.16万元，较2024年预算增加106.45万元，其中：基本支出增加107.50万元，主要为2024年新招录2人，</w:t>
      </w:r>
      <w:r>
        <w:rPr>
          <w:rFonts w:hint="eastAsia"/>
          <w:lang w:eastAsia="zh-CN"/>
        </w:rPr>
        <w:t>退休增加</w:t>
      </w:r>
      <w:r>
        <w:rPr>
          <w:rFonts w:hint="eastAsia"/>
          <w:lang w:val="en-US" w:eastAsia="zh-CN"/>
        </w:rPr>
        <w:t>1人，导致</w:t>
      </w:r>
      <w:r>
        <w:t>工资福利支出预算增加。项目支出减少1.05万元，主要为2025年无采购办公家具预算。</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6"/>
        <w:keepNext w:val="0"/>
        <w:keepLines w:val="0"/>
        <w:pageBreakBefore w:val="0"/>
        <w:widowControl/>
        <w:kinsoku/>
        <w:wordWrap/>
        <w:overflowPunct/>
        <w:topLinePunct w:val="0"/>
        <w:autoSpaceDE/>
        <w:autoSpaceDN/>
        <w:bidi w:val="0"/>
        <w:adjustRightInd/>
        <w:snapToGrid/>
        <w:spacing w:line="500" w:lineRule="exact"/>
        <w:textAlignment w:val="auto"/>
      </w:pPr>
      <w:r>
        <w:t>202</w:t>
      </w:r>
      <w:r>
        <w:rPr>
          <w:rFonts w:hint="eastAsia"/>
          <w:lang w:val="en-US" w:eastAsia="zh-CN"/>
        </w:rPr>
        <w:t>5</w:t>
      </w:r>
      <w:r>
        <w:t>年，我</w:t>
      </w:r>
      <w:r>
        <w:rPr>
          <w:rFonts w:hint="eastAsia"/>
          <w:lang w:eastAsia="zh-CN"/>
        </w:rPr>
        <w:t>部门</w:t>
      </w:r>
      <w:r>
        <w:t>机关运行经费共计安排</w:t>
      </w:r>
      <w:r>
        <w:rPr>
          <w:rFonts w:hint="eastAsia"/>
          <w:lang w:val="en-US" w:eastAsia="zh-CN"/>
        </w:rPr>
        <w:t>46.44</w:t>
      </w:r>
      <w:r>
        <w:t>万元，主要包括用于保证机关正常运转的办公费、印刷费、邮电费、物业管理费、差旅费、培训费、会议费、公务接待费、劳务费、工会经费、福利费、公务用车运行维护费、其他交通费用、其他商品和服务支出等。</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2025年，我部门财政拨款“三公”经费预算安排4.98万元，其中因公出国（境）费0.00万元；公务用车购置及运维费4.80万元（其中：公务用车购置费为0.00万元，公务用车运维费4.80万元)；公务接待费0.18万元</w:t>
      </w:r>
      <w:r>
        <w:rPr>
          <w:rFonts w:hint="eastAsia"/>
          <w:lang w:eastAsia="zh-CN"/>
        </w:rPr>
        <w:t>，</w:t>
      </w:r>
      <w:r>
        <w:t>与2024年相比减少0.11万元，主要是公务接待费，原因为认真落实党政机关厉行节约、反对浪费条例规定，从严控制支出。具体安排情况为：</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(一)公务用车购置及运行费。共计安排4.80万元，较上年无变化，原因为认真落实党政机关厉行节约、反对浪费条例规定，从严控制支出。</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①公务用车购置0万元，与上年预算持平，原因为无公务用车购置计划。</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②公务运行维护经费安排4.80万元，与上年预算持平，原因为认真落实党政机关厉行节约、反对浪费条例规定，从严控制支出。</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(二)公务接待费安排0.18万元，较上年预算减少0.11万元，原因为认真落实党政机关厉行节约、反对浪费条例规定，从严控制支出。</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pPr>
      <w:r>
        <w:t>(三)因公出国(境)费安排0万元，与上年预算持平，原因为无因公出国（境）计划。</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团结带领全市广大文艺工作者深入学习贯彻习近平新时代中国特色社会主义思想和党的二十大、</w:t>
      </w:r>
      <w:r>
        <w:rPr>
          <w:rFonts w:hint="eastAsia"/>
          <w:lang w:eastAsia="zh-CN"/>
        </w:rPr>
        <w:t>党的</w:t>
      </w:r>
      <w:r>
        <w:t>二十届三中全会精神。围绕全市“12345”总体工作布局，广泛开展“深入生活，扎根人民”主题文艺实践活动，扎实推进重点文艺作品创作，在争取重大课题、重大项目、重要奖项上持续发力，积极推荐文艺家申报国家、省级人才项目。加强职业道德和行风建设，做好新文艺组织和新文艺群体的团结引领，把文联真正建设成覆盖面广、凝聚力强、温馨和谐的文艺工作者之家。开展文艺名家进基层、文艺惠民演出和文化科技卫生“三下乡”等乡村文化活动，建好用好文艺创作示范基地、文艺名家工作室等平台，用更多思想精深、艺术精湛、制作精良的优秀作品满足人民群众对精神文化生活的新期待。为加快“三个努力建成”“三个走在前列”步伐，奋力谱写中国式现代化建设河北唐山篇章作出新的更大贡献。</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1.</w:t>
      </w:r>
      <w:r>
        <w:t>做好“推人才、推精品”工作</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t>绩效目标：进一步加强对全市文艺作品和重点文艺人才的引导，积极争取各项政策支持，对重大题材作品加大支持力度，通过强化价值引领、完善奖励机制、加大人才培养等有力举措，力争出精品、出人才工作实现新突破。</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eastAsia="zh-CN"/>
        </w:rPr>
      </w:pPr>
      <w:r>
        <w:t>绩效指标：</w:t>
      </w:r>
      <w:r>
        <w:rPr>
          <w:rFonts w:hint="eastAsia"/>
        </w:rPr>
        <w:t>①</w:t>
      </w:r>
      <w:r>
        <w:t>抓好</w:t>
      </w:r>
      <w:r>
        <w:rPr>
          <w:rFonts w:hint="eastAsia"/>
          <w:lang w:val="en-US" w:eastAsia="zh-CN"/>
        </w:rPr>
        <w:t>2025年全国、省级奖项等</w:t>
      </w:r>
      <w:r>
        <w:t>各类文艺评奖活动</w:t>
      </w:r>
      <w:r>
        <w:rPr>
          <w:rFonts w:hint="eastAsia"/>
          <w:lang w:eastAsia="zh-CN"/>
        </w:rPr>
        <w:t>；</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eastAsia="zh-CN"/>
        </w:rPr>
      </w:pPr>
      <w:r>
        <w:rPr>
          <w:rFonts w:hint="eastAsia"/>
        </w:rPr>
        <w:t>②</w:t>
      </w:r>
      <w:r>
        <w:t>积极引导文艺家协会、基层文联组织开展的特色文艺品牌活动</w:t>
      </w:r>
      <w:r>
        <w:rPr>
          <w:rFonts w:hint="eastAsia"/>
          <w:lang w:eastAsia="zh-CN"/>
        </w:rPr>
        <w:t>；</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rPr>
        <w:t>③</w:t>
      </w:r>
      <w:r>
        <w:t>完成第</w:t>
      </w:r>
      <w:r>
        <w:rPr>
          <w:rFonts w:hint="eastAsia"/>
          <w:lang w:eastAsia="zh-CN"/>
        </w:rPr>
        <w:t>四</w:t>
      </w:r>
      <w:r>
        <w:t>批文联系统中青年文艺拔尖人才评选工作</w:t>
      </w:r>
      <w:r>
        <w:rPr>
          <w:rFonts w:hint="eastAsia"/>
          <w:lang w:eastAsia="zh-CN"/>
        </w:rPr>
        <w:t>；</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2.</w:t>
      </w:r>
      <w:r>
        <w:t>做好《唐山文学》发行工作</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eastAsia="zh-CN"/>
        </w:rPr>
      </w:pPr>
      <w:r>
        <w:t>绩效目标：</w:t>
      </w:r>
      <w:r>
        <w:rPr>
          <w:rFonts w:hint="eastAsia"/>
          <w:lang w:eastAsia="zh-CN"/>
        </w:rPr>
        <w:t>加强《唐山文学》品牌创建，提升刊物域外影响力。鼓励精品创作，注重发掘优秀作者、作品；强化编辑队伍建设，加强专业技术人员的岗位培训，不断提高编辑人员素质能力。</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default"/>
          <w:lang w:val="en-US" w:eastAsia="zh-CN"/>
        </w:rPr>
      </w:pPr>
      <w:r>
        <w:t>绩效指标：</w:t>
      </w:r>
      <w:r>
        <w:rPr>
          <w:rFonts w:hint="eastAsia"/>
        </w:rPr>
        <w:t>①</w:t>
      </w:r>
      <w:r>
        <w:rPr>
          <w:rFonts w:hint="eastAsia"/>
          <w:lang w:val="en-US" w:eastAsia="zh-CN"/>
        </w:rPr>
        <w:t>规范出版行为，严格遵守出版行业有关法律、法规；</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rPr>
        <w:t>②</w:t>
      </w:r>
      <w:r>
        <w:rPr>
          <w:rFonts w:hint="eastAsia"/>
          <w:lang w:eastAsia="zh-CN"/>
        </w:rPr>
        <w:t>完成</w:t>
      </w:r>
      <w:r>
        <w:t>《唐山文学》</w:t>
      </w:r>
      <w:r>
        <w:rPr>
          <w:rFonts w:hint="eastAsia"/>
          <w:lang w:eastAsia="zh-CN"/>
        </w:rPr>
        <w:t>期刊的年度出版任务</w:t>
      </w:r>
      <w:r>
        <w:t>；</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rPr>
        <w:t>③</w:t>
      </w:r>
      <w:r>
        <w:rPr>
          <w:rFonts w:hint="eastAsia"/>
          <w:lang w:eastAsia="zh-CN"/>
        </w:rPr>
        <w:t>拓展《唐山文学》刊物新媒体传播渠道</w:t>
      </w:r>
      <w:r>
        <w:t>。</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3.做持续开展文艺主题展演展示活动工作</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绩效目标：组织开展系列文艺主题活动，努力实现服务大局有新作为、政治引领有新成效、精品创作有新成果、文艺队伍有新拓展、服务人民有新举措、自身建设有新进展。</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绩效指标：</w:t>
      </w:r>
      <w:r>
        <w:rPr>
          <w:rFonts w:hint="eastAsia"/>
        </w:rPr>
        <w:t>①</w:t>
      </w:r>
      <w:r>
        <w:rPr>
          <w:rFonts w:hint="eastAsia"/>
          <w:lang w:val="en-US" w:eastAsia="zh-CN"/>
        </w:rPr>
        <w:t>引导各文艺家协会积极开展“奋进新征程，建功新时代”主题系列文艺活动；</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val="en-US" w:eastAsia="zh-CN"/>
        </w:rPr>
      </w:pPr>
      <w:r>
        <w:rPr>
          <w:rFonts w:hint="eastAsia"/>
        </w:rPr>
        <w:t>②</w:t>
      </w:r>
      <w:r>
        <w:rPr>
          <w:rFonts w:hint="eastAsia"/>
          <w:lang w:val="en-US" w:eastAsia="zh-CN"/>
        </w:rPr>
        <w:t>举办第十七届文艺采风创作营，把学习宣传习近平文化思想作为采风创作主题，贯穿文艺创作全过程；</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lang w:val="en-US" w:eastAsia="zh-CN"/>
        </w:rPr>
      </w:pPr>
      <w:r>
        <w:rPr>
          <w:rFonts w:hint="eastAsia"/>
        </w:rPr>
        <w:t>③</w:t>
      </w:r>
      <w:r>
        <w:rPr>
          <w:rFonts w:hint="eastAsia"/>
          <w:lang w:val="en-US" w:eastAsia="zh-CN"/>
        </w:rPr>
        <w:t>扎实推进“强基工程”—文艺助力基层精神文明建设行动。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4.做好增强“四力”夯实基层文联基础服务新时代文明实践中心建设理论业务培训工作</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探索基层文联建设的新途径新形势，总结一套可复制、可推广的基层文联与新时代文明实践中心融合共建的好经验，定好新时代基层文联的新方位，不断增强脚力、眼力、脑力、笔力，激励广大宣传思想工作干部积极作为，开拓进取，承担起服务新时代文明实践中心建设的新使命</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绩效指标：①组织广大文艺工作者深入基层、深入生活、深入群众，不但做到身入，还要做到心入和情入，特别是在重点文艺采风创作活动中锻炼队伍、提升境界；</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②开展“‘我们的中国梦’——文艺进万家”文艺志愿服务活动，努力满足人民群众日益增长的美好生活需求；</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③加强“深入生活，扎根人民”工作联系点建设，各文艺家协会领导班子都要落实基层文艺创作联系点工作，并作为协会考核工作的重要指标；</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④广泛开展双争有我“舞动河北，画说河北，唱响河北”等群众文化赛事活动。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1.</w:t>
      </w:r>
      <w:r>
        <w:t>以学习宣传贯彻党的二十大精神为主线，提高政治站位，强化理论武装。坚持以习近平新时代中国特色社会主义思想武装广大文艺工作者头脑，进一步丰富学习形式，拓宽培训渠道，广泛采取交流研讨、主题实践、采风创作、展演展示、慰问演出、志愿服务等多种形式，引导全市广大文艺工作者更加主动更加自觉地学思想、悟思想、用思想，切实把习近平总书记重要讲话精神学深悟透，做到入脑入心。团结带领广大文艺工作者进一步增强“四个意识”</w:t>
      </w:r>
      <w:r>
        <w:rPr>
          <w:rFonts w:hint="eastAsia"/>
          <w:lang w:eastAsia="zh-CN"/>
        </w:rPr>
        <w:t>、</w:t>
      </w:r>
      <w:r>
        <w:t>坚定“四个自信”</w:t>
      </w:r>
      <w:r>
        <w:rPr>
          <w:rFonts w:hint="eastAsia"/>
          <w:lang w:eastAsia="zh-CN"/>
        </w:rPr>
        <w:t>、</w:t>
      </w:r>
      <w:bookmarkStart w:id="20" w:name="_GoBack"/>
      <w:bookmarkEnd w:id="20"/>
      <w:r>
        <w:t>做到“两个维护”，不断提高广大文艺工作者的政治水平和理论素养。</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2.</w:t>
      </w:r>
      <w:r>
        <w:t>强化系统观念和战略思维，把职业道德和行风建设融入到主题创作、办展评选、文艺交流之中，引导广大文艺工作者修身守正、立心铸魂，坚守职业道德，追求德艺双馨，以“深入生活，扎根人民”文艺主题实践活动为抓手，完成第三批文联系统中青年文艺拔尖人才评选工作。高质量推进文艺创作，不断推出讴歌党、讴歌祖国、讴歌人民、讴歌英雄、讴歌新时代的精品力作，鼓舞人民士气、凝聚社会共识，讴歌真善美、传播正能量。</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3.</w:t>
      </w:r>
      <w:r>
        <w:t>认真贯彻中宣部《关于开展文娱领域综合治理工作的通知》精神和《中国文联文艺工作者职业道德和行风建设工作座谈会》及《河北省文联文艺工作者职业道德和行风建设工作座谈会》会议精神，把职业道德建设和行风建设融入全市文艺界重大文艺创作、重点文艺采风、文艺志愿服务等活动中，引导广大文艺工作者修身守正、立心铸魂，坚守职业道德，追求德艺双馨，推动全市文艺事业高质量发展。</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4.</w:t>
      </w:r>
      <w:r>
        <w:t>进一步完善“深入生活、扎根人民”主题实践活动常态化长效化机制，积极开展文艺志愿服务活动，组织文艺工作者进社区、进校园、进军营、进企业，广泛开展“我们的中国梦——文化进万家”等文艺志愿服务活动，努力满足人民群众日益增长的美好生活需求。组织开展文化科技卫生“三下乡”等乡村文化活动，坚持送文化、种文化和传精神相结合，以惠民演出、采风创作、文艺支教、展览展示等多种形式，用更多思想精深、艺术精湛、制作精良的优秀作品满足人民群众对精神文化生活的新期待。</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5.</w:t>
      </w:r>
      <w:r>
        <w:t>进一步完善落实市文联党组制定的关于加强意识形态工作《实施意见》《工作方案》《应急预案》和《责任清单》。加强对公众号、微信群、短视频等新媒体平台的管控，扎实做好文艺生产安全工作。进一步完善文联所属文艺家协会《干部管理》和《年度考核》等制度，使协会工作走上规范化、制度化、科学化和法制化的轨道。</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6.</w:t>
      </w:r>
      <w:r>
        <w:t>进一步夯实文联自身建设基础。持续巩固和深化“不忘初心、牢记使命”主题教育和“四力”教育实践成果，在已有工作基础上抓重点、打硬仗、攻难关、补短板，紧紧围绕增强“四力”，持续加强文艺人才队伍建设；紧紧围绕建立健全文艺创作激励机制，推动构筑文艺事业高峰；紧紧围绕落实意识形态工作责任制，全方位加强意识形态阵地建设；紧紧围绕党风廉政建设，营造文联风清气正良好政治生态。</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7.</w:t>
      </w:r>
      <w:r>
        <w:t>完善制度建设。包括制定完善预算绩效管理制度、资金管理办法、工作保障制度等，为全年预算绩效目标的实现奠定制度基础。</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8.</w:t>
      </w:r>
      <w: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9.</w:t>
      </w:r>
      <w:r>
        <w:t>加强绩效运行监控。按要求开展绩效运行监控，发现问题及时采取措施，确保绩效目标如期保质实现。</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10.</w:t>
      </w:r>
      <w:r>
        <w:t>做好绩效自评。按要求开展上年度部门预算绩效自评和重点评价工作，对评价中发现的问题及时整改，调整优化支出结构，提高财政资金使用效益。</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11.</w:t>
      </w:r>
      <w:r>
        <w:t>规范财务资产管理。完善财务管理制度，严格审批程序，加强固定资产登记、使用和报废处置管理，做到支出合理，物尽其用。</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val="en-US" w:eastAsia="zh-CN"/>
        </w:rPr>
        <w:t>12.</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spacing w:line="500" w:lineRule="exact"/>
        <w:textAlignment w:val="auto"/>
        <w:sectPr>
          <w:pgSz w:w="16840" w:h="11900" w:orient="landscape"/>
          <w:pgMar w:top="1361" w:right="1020" w:bottom="1361" w:left="1020" w:header="720" w:footer="720" w:gutter="0"/>
          <w:cols w:space="720" w:num="1"/>
        </w:sectPr>
      </w:pPr>
      <w:r>
        <w:rPr>
          <w:rFonts w:hint="eastAsia"/>
          <w:lang w:val="en-US" w:eastAsia="zh-CN"/>
        </w:rPr>
        <w:t>13.</w:t>
      </w:r>
      <w: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1、唐山文学绩效目标表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13020025P00T24610004A</w:t>
            </w:r>
          </w:p>
        </w:tc>
        <w:tc>
          <w:tcPr>
            <w:tcW w:w="2835" w:type="dxa"/>
            <w:vAlign w:val="center"/>
          </w:tcPr>
          <w:p>
            <w:pPr>
              <w:pStyle w:val="11"/>
            </w:pPr>
            <w:r>
              <w:t>项目名称</w:t>
            </w:r>
          </w:p>
        </w:tc>
        <w:tc>
          <w:tcPr>
            <w:tcW w:w="6095" w:type="dxa"/>
            <w:gridSpan w:val="3"/>
            <w:vAlign w:val="center"/>
          </w:tcPr>
          <w:p>
            <w:pPr>
              <w:pStyle w:val="13"/>
            </w:pPr>
            <w:r>
              <w:t>唐山文学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16.77</w:t>
            </w:r>
          </w:p>
        </w:tc>
        <w:tc>
          <w:tcPr>
            <w:tcW w:w="2835" w:type="dxa"/>
            <w:vAlign w:val="center"/>
          </w:tcPr>
          <w:p>
            <w:pPr>
              <w:pStyle w:val="11"/>
            </w:pPr>
            <w:r>
              <w:t>其中：财政    资金</w:t>
            </w:r>
          </w:p>
        </w:tc>
        <w:tc>
          <w:tcPr>
            <w:tcW w:w="2551" w:type="dxa"/>
            <w:vAlign w:val="center"/>
          </w:tcPr>
          <w:p>
            <w:pPr>
              <w:pStyle w:val="13"/>
            </w:pPr>
            <w:r>
              <w:t>16.77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做好《唐山文学》1-12期的发行工作，保障业务正常开展。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1.做好《唐山文学》1-12期的发行工作，保障业务正常开展。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出版印刷发行期数</w:t>
            </w:r>
          </w:p>
        </w:tc>
        <w:tc>
          <w:tcPr>
            <w:tcW w:w="5386" w:type="dxa"/>
            <w:vAlign w:val="center"/>
          </w:tcPr>
          <w:p>
            <w:pPr>
              <w:pStyle w:val="13"/>
            </w:pPr>
            <w:r>
              <w:t>出版印刷发行期数</w:t>
            </w:r>
          </w:p>
        </w:tc>
        <w:tc>
          <w:tcPr>
            <w:tcW w:w="2268" w:type="dxa"/>
            <w:vAlign w:val="center"/>
          </w:tcPr>
          <w:p>
            <w:pPr>
              <w:pStyle w:val="13"/>
            </w:pPr>
            <w:r>
              <w:t>12期</w:t>
            </w:r>
          </w:p>
        </w:tc>
        <w:tc>
          <w:tcPr>
            <w:tcW w:w="1276" w:type="dxa"/>
            <w:vAlign w:val="center"/>
          </w:tcPr>
          <w:p>
            <w:pPr>
              <w:pStyle w:val="13"/>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合同约定时限</w:t>
            </w:r>
          </w:p>
        </w:tc>
        <w:tc>
          <w:tcPr>
            <w:tcW w:w="5386" w:type="dxa"/>
            <w:vAlign w:val="center"/>
          </w:tcPr>
          <w:p>
            <w:pPr>
              <w:pStyle w:val="13"/>
            </w:pPr>
            <w:r>
              <w:t>合同约定时限</w:t>
            </w:r>
          </w:p>
        </w:tc>
        <w:tc>
          <w:tcPr>
            <w:tcW w:w="2268" w:type="dxa"/>
            <w:vAlign w:val="center"/>
          </w:tcPr>
          <w:p>
            <w:pPr>
              <w:pStyle w:val="13"/>
            </w:pPr>
            <w:r>
              <w:t>2025年12月底前完成</w:t>
            </w:r>
          </w:p>
        </w:tc>
        <w:tc>
          <w:tcPr>
            <w:tcW w:w="1276" w:type="dxa"/>
            <w:vAlign w:val="center"/>
          </w:tcPr>
          <w:p>
            <w:pPr>
              <w:pStyle w:val="13"/>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杂志单价</w:t>
            </w:r>
          </w:p>
        </w:tc>
        <w:tc>
          <w:tcPr>
            <w:tcW w:w="5386" w:type="dxa"/>
            <w:vAlign w:val="center"/>
          </w:tcPr>
          <w:p>
            <w:pPr>
              <w:pStyle w:val="13"/>
            </w:pPr>
            <w:r>
              <w:t>杂志单价</w:t>
            </w:r>
          </w:p>
        </w:tc>
        <w:tc>
          <w:tcPr>
            <w:tcW w:w="2268" w:type="dxa"/>
            <w:vAlign w:val="center"/>
          </w:tcPr>
          <w:p>
            <w:pPr>
              <w:pStyle w:val="13"/>
            </w:pPr>
            <w:r>
              <w:t>≤12元</w:t>
            </w:r>
          </w:p>
        </w:tc>
        <w:tc>
          <w:tcPr>
            <w:tcW w:w="1276" w:type="dxa"/>
            <w:vAlign w:val="center"/>
          </w:tcPr>
          <w:p>
            <w:pPr>
              <w:pStyle w:val="13"/>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保障日常办公</w:t>
            </w:r>
          </w:p>
        </w:tc>
        <w:tc>
          <w:tcPr>
            <w:tcW w:w="5386" w:type="dxa"/>
            <w:vAlign w:val="center"/>
          </w:tcPr>
          <w:p>
            <w:pPr>
              <w:pStyle w:val="13"/>
            </w:pPr>
            <w:r>
              <w:t>保障日常办公</w:t>
            </w:r>
          </w:p>
        </w:tc>
        <w:tc>
          <w:tcPr>
            <w:tcW w:w="2268" w:type="dxa"/>
            <w:vAlign w:val="center"/>
          </w:tcPr>
          <w:p>
            <w:pPr>
              <w:pStyle w:val="13"/>
            </w:pPr>
            <w:r>
              <w:t>有效保障日常办公</w:t>
            </w:r>
          </w:p>
        </w:tc>
        <w:tc>
          <w:tcPr>
            <w:tcW w:w="1276" w:type="dxa"/>
            <w:vAlign w:val="center"/>
          </w:tcPr>
          <w:p>
            <w:pPr>
              <w:pStyle w:val="13"/>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根据年度工作计划及印刷协议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2、写作营绩效目标表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13020025P004064100045</w:t>
            </w:r>
          </w:p>
        </w:tc>
        <w:tc>
          <w:tcPr>
            <w:tcW w:w="2835" w:type="dxa"/>
            <w:vAlign w:val="center"/>
          </w:tcPr>
          <w:p>
            <w:pPr>
              <w:pStyle w:val="11"/>
            </w:pPr>
            <w:r>
              <w:t>项目名称</w:t>
            </w:r>
          </w:p>
        </w:tc>
        <w:tc>
          <w:tcPr>
            <w:tcW w:w="6095" w:type="dxa"/>
            <w:gridSpan w:val="3"/>
            <w:vAlign w:val="center"/>
          </w:tcPr>
          <w:p>
            <w:pPr>
              <w:pStyle w:val="13"/>
            </w:pPr>
            <w:r>
              <w:t>写作营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大力推动文艺创作，努力实现文联工作由活动组织型向创作主导型转变，实现服务大局有新作为、政治引领有新成效、精品创作有新成果、文艺队伍有新拓展、服务人民有新举措、自身建设有新进展。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1.按计划开展写作营活动，保障单位业务开展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活动次数</w:t>
            </w:r>
          </w:p>
        </w:tc>
        <w:tc>
          <w:tcPr>
            <w:tcW w:w="5386" w:type="dxa"/>
            <w:vAlign w:val="center"/>
          </w:tcPr>
          <w:p>
            <w:pPr>
              <w:pStyle w:val="13"/>
            </w:pPr>
            <w:r>
              <w:t>活动次数</w:t>
            </w:r>
          </w:p>
        </w:tc>
        <w:tc>
          <w:tcPr>
            <w:tcW w:w="2268" w:type="dxa"/>
            <w:vAlign w:val="center"/>
          </w:tcPr>
          <w:p>
            <w:pPr>
              <w:pStyle w:val="13"/>
            </w:pPr>
            <w:r>
              <w:t>≥1次</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100%</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2025年12月底前完成</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活动人均成本</w:t>
            </w:r>
          </w:p>
        </w:tc>
        <w:tc>
          <w:tcPr>
            <w:tcW w:w="5386" w:type="dxa"/>
            <w:vAlign w:val="center"/>
          </w:tcPr>
          <w:p>
            <w:pPr>
              <w:pStyle w:val="13"/>
            </w:pPr>
            <w:r>
              <w:t>活动人均成本</w:t>
            </w:r>
          </w:p>
        </w:tc>
        <w:tc>
          <w:tcPr>
            <w:tcW w:w="2268" w:type="dxa"/>
            <w:vAlign w:val="center"/>
          </w:tcPr>
          <w:p>
            <w:pPr>
              <w:pStyle w:val="13"/>
            </w:pPr>
            <w:r>
              <w:t>≤400元</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有效保障人员素质</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3、增强“四力”夯实基层文联基础服务新时代文明实践中心建设理论业务培训活动绩效目标表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13020025P00T6FP100049</w:t>
            </w:r>
          </w:p>
        </w:tc>
        <w:tc>
          <w:tcPr>
            <w:tcW w:w="2835" w:type="dxa"/>
            <w:vAlign w:val="center"/>
          </w:tcPr>
          <w:p>
            <w:pPr>
              <w:pStyle w:val="11"/>
            </w:pPr>
            <w:r>
              <w:t>项目名称</w:t>
            </w:r>
          </w:p>
        </w:tc>
        <w:tc>
          <w:tcPr>
            <w:tcW w:w="6095" w:type="dxa"/>
            <w:gridSpan w:val="3"/>
            <w:vAlign w:val="center"/>
          </w:tcPr>
          <w:p>
            <w:pPr>
              <w:pStyle w:val="13"/>
            </w:pPr>
            <w:r>
              <w:t>增强“四力”夯实基层文联基础服务新时代文明实践中心建设理论业务培训活动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探索基层文联建设的新途径新形势，延伸工作手臂，强化基层文联与新时代文明实践中心融合共建，不断增强脚力、眼力、脑力、笔力，激励文艺工作者积极作为，开拓进取，承担起服务新时代文明实践中心建设的新使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培训次数</w:t>
            </w:r>
          </w:p>
        </w:tc>
        <w:tc>
          <w:tcPr>
            <w:tcW w:w="2268" w:type="dxa"/>
            <w:vAlign w:val="center"/>
          </w:tcPr>
          <w:p>
            <w:pPr>
              <w:pStyle w:val="13"/>
            </w:pPr>
            <w:r>
              <w:t>≥1次</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培训计划按期完成率</w:t>
            </w:r>
          </w:p>
        </w:tc>
        <w:tc>
          <w:tcPr>
            <w:tcW w:w="5386" w:type="dxa"/>
            <w:vAlign w:val="center"/>
          </w:tcPr>
          <w:p>
            <w:pPr>
              <w:pStyle w:val="13"/>
            </w:pPr>
            <w:r>
              <w:t>培训计划按期完成率</w:t>
            </w:r>
          </w:p>
        </w:tc>
        <w:tc>
          <w:tcPr>
            <w:tcW w:w="2268" w:type="dxa"/>
            <w:vAlign w:val="center"/>
          </w:tcPr>
          <w:p>
            <w:pPr>
              <w:pStyle w:val="13"/>
            </w:pPr>
            <w:r>
              <w:t>100%</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培训完成时间</w:t>
            </w:r>
          </w:p>
        </w:tc>
        <w:tc>
          <w:tcPr>
            <w:tcW w:w="2268" w:type="dxa"/>
            <w:vAlign w:val="center"/>
          </w:tcPr>
          <w:p>
            <w:pPr>
              <w:pStyle w:val="13"/>
            </w:pPr>
            <w:r>
              <w:t>2025年12月底前完成</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≤400元</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有效保障人员素质</w:t>
            </w:r>
          </w:p>
        </w:tc>
        <w:tc>
          <w:tcPr>
            <w:tcW w:w="1276" w:type="dxa"/>
            <w:vAlign w:val="center"/>
          </w:tcPr>
          <w:p>
            <w:pPr>
              <w:pStyle w:val="13"/>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407唐山市文学艺术界联合会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21.35</w:t>
            </w:r>
          </w:p>
        </w:tc>
        <w:tc>
          <w:tcPr>
            <w:tcW w:w="964" w:type="dxa"/>
            <w:vAlign w:val="center"/>
          </w:tcPr>
          <w:p>
            <w:pPr>
              <w:pStyle w:val="16"/>
            </w:pPr>
            <w:r>
              <w:t>21.35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唐山市文学艺术界联合会本级小计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21.35</w:t>
            </w:r>
          </w:p>
        </w:tc>
        <w:tc>
          <w:tcPr>
            <w:tcW w:w="964" w:type="dxa"/>
            <w:vAlign w:val="center"/>
          </w:tcPr>
          <w:p>
            <w:pPr>
              <w:pStyle w:val="16"/>
            </w:pPr>
            <w:r>
              <w:t>21.35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其他普通图书</w:t>
            </w:r>
          </w:p>
        </w:tc>
        <w:tc>
          <w:tcPr>
            <w:tcW w:w="1134" w:type="dxa"/>
            <w:vAlign w:val="center"/>
          </w:tcPr>
          <w:p>
            <w:pPr>
              <w:pStyle w:val="13"/>
            </w:pPr>
            <w:r>
              <w:t>A04010199</w:t>
            </w:r>
          </w:p>
        </w:tc>
        <w:tc>
          <w:tcPr>
            <w:tcW w:w="709" w:type="dxa"/>
            <w:vAlign w:val="center"/>
          </w:tcPr>
          <w:p>
            <w:pPr>
              <w:pStyle w:val="14"/>
            </w:pPr>
            <w:r>
              <w:t>本</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报纸</w:t>
            </w:r>
          </w:p>
        </w:tc>
        <w:tc>
          <w:tcPr>
            <w:tcW w:w="1134" w:type="dxa"/>
            <w:vAlign w:val="center"/>
          </w:tcPr>
          <w:p>
            <w:pPr>
              <w:pStyle w:val="13"/>
            </w:pPr>
            <w:r>
              <w:t>A04040600</w:t>
            </w:r>
          </w:p>
        </w:tc>
        <w:tc>
          <w:tcPr>
            <w:tcW w:w="709" w:type="dxa"/>
            <w:vAlign w:val="center"/>
          </w:tcPr>
          <w:p>
            <w:pPr>
              <w:pStyle w:val="14"/>
            </w:pPr>
            <w:r>
              <w:t>份</w:t>
            </w:r>
          </w:p>
        </w:tc>
        <w:tc>
          <w:tcPr>
            <w:tcW w:w="850" w:type="dxa"/>
            <w:vAlign w:val="center"/>
          </w:tcPr>
          <w:p>
            <w:pPr>
              <w:pStyle w:val="12"/>
            </w:pPr>
            <w:r>
              <w:t>51</w:t>
            </w:r>
          </w:p>
        </w:tc>
        <w:tc>
          <w:tcPr>
            <w:tcW w:w="850" w:type="dxa"/>
            <w:vAlign w:val="center"/>
          </w:tcPr>
          <w:p>
            <w:pPr>
              <w:pStyle w:val="12"/>
            </w:pPr>
            <w:r>
              <w:t>0.03</w:t>
            </w:r>
          </w:p>
        </w:tc>
        <w:tc>
          <w:tcPr>
            <w:tcW w:w="964" w:type="dxa"/>
            <w:vAlign w:val="center"/>
          </w:tcPr>
          <w:p>
            <w:pPr>
              <w:pStyle w:val="12"/>
            </w:pPr>
            <w:r>
              <w:t>1.63</w:t>
            </w:r>
          </w:p>
        </w:tc>
        <w:tc>
          <w:tcPr>
            <w:tcW w:w="964" w:type="dxa"/>
            <w:vAlign w:val="center"/>
          </w:tcPr>
          <w:p>
            <w:pPr>
              <w:pStyle w:val="12"/>
            </w:pPr>
            <w:r>
              <w:t>1.63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1.30</w:t>
            </w:r>
          </w:p>
        </w:tc>
        <w:tc>
          <w:tcPr>
            <w:tcW w:w="964" w:type="dxa"/>
            <w:vAlign w:val="center"/>
          </w:tcPr>
          <w:p>
            <w:pPr>
              <w:pStyle w:val="12"/>
            </w:pPr>
            <w:r>
              <w:t>1.30</w:t>
            </w:r>
          </w:p>
        </w:tc>
        <w:tc>
          <w:tcPr>
            <w:tcW w:w="964" w:type="dxa"/>
            <w:vAlign w:val="center"/>
          </w:tcPr>
          <w:p>
            <w:pPr>
              <w:pStyle w:val="12"/>
            </w:pPr>
            <w:r>
              <w:t>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18.61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20</w:t>
            </w:r>
          </w:p>
        </w:tc>
        <w:tc>
          <w:tcPr>
            <w:tcW w:w="850" w:type="dxa"/>
            <w:vAlign w:val="center"/>
          </w:tcPr>
          <w:p>
            <w:pPr>
              <w:pStyle w:val="12"/>
            </w:pPr>
            <w:r>
              <w:t>0.06</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唐山文学</w:t>
            </w:r>
          </w:p>
        </w:tc>
        <w:tc>
          <w:tcPr>
            <w:tcW w:w="964" w:type="dxa"/>
            <w:vAlign w:val="center"/>
          </w:tcPr>
          <w:p>
            <w:pPr>
              <w:pStyle w:val="12"/>
            </w:pPr>
            <w:r>
              <w:t>16.77</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写作营</w:t>
            </w:r>
          </w:p>
        </w:tc>
        <w:tc>
          <w:tcPr>
            <w:tcW w:w="964" w:type="dxa"/>
            <w:vAlign w:val="center"/>
          </w:tcPr>
          <w:p>
            <w:pPr>
              <w:pStyle w:val="12"/>
            </w:pPr>
            <w:r>
              <w:t>9.00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增强“四力”夯实基层文联基础服务新时代文明实践中心建设理论业务培训活动</w:t>
            </w:r>
          </w:p>
        </w:tc>
        <w:tc>
          <w:tcPr>
            <w:tcW w:w="964" w:type="dxa"/>
            <w:vAlign w:val="center"/>
          </w:tcPr>
          <w:p>
            <w:pPr>
              <w:pStyle w:val="12"/>
            </w:pPr>
            <w:r>
              <w:t>7.00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w:t>
            </w:r>
          </w:p>
        </w:tc>
        <w:tc>
          <w:tcPr>
            <w:tcW w:w="850" w:type="dxa"/>
            <w:vAlign w:val="center"/>
          </w:tcPr>
          <w:p>
            <w:pPr>
              <w:pStyle w:val="12"/>
            </w:pPr>
            <w:r>
              <w:t>0.02</w:t>
            </w:r>
          </w:p>
        </w:tc>
        <w:tc>
          <w:tcPr>
            <w:tcW w:w="964" w:type="dxa"/>
            <w:vAlign w:val="center"/>
          </w:tcPr>
          <w:p>
            <w:pPr>
              <w:pStyle w:val="12"/>
            </w:pPr>
            <w:r>
              <w:t>0.02</w:t>
            </w:r>
          </w:p>
        </w:tc>
        <w:tc>
          <w:tcPr>
            <w:tcW w:w="964" w:type="dxa"/>
            <w:vAlign w:val="center"/>
          </w:tcPr>
          <w:p>
            <w:pPr>
              <w:pStyle w:val="12"/>
            </w:pPr>
            <w:r>
              <w:t>0.02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增强“四力”夯实基层文联基础服务新时代文明实践中心建设理论业务培训活动</w:t>
            </w:r>
          </w:p>
        </w:tc>
        <w:tc>
          <w:tcPr>
            <w:tcW w:w="964" w:type="dxa"/>
            <w:vAlign w:val="center"/>
          </w:tcPr>
          <w:p>
            <w:pPr>
              <w:pStyle w:val="12"/>
            </w:pPr>
            <w:r>
              <w:t>7.00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唐山市文学艺术界联合会（含所属单位）上年末固定资产金额为</w:t>
      </w:r>
      <w:r>
        <w:rPr>
          <w:rFonts w:hint="eastAsia" w:eastAsia="方正仿宋_GBK" w:cs="Times New Roman"/>
          <w:b w:val="0"/>
          <w:color w:val="000000"/>
          <w:sz w:val="28"/>
          <w:lang w:val="en-US" w:eastAsia="zh-CN"/>
        </w:rPr>
        <w:t>146.89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407唐山市文学艺术界联合会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670</w:t>
            </w:r>
          </w:p>
        </w:tc>
        <w:tc>
          <w:tcPr>
            <w:tcW w:w="2835" w:type="dxa"/>
            <w:vAlign w:val="center"/>
          </w:tcPr>
          <w:p>
            <w:pPr>
              <w:pStyle w:val="12"/>
              <w:rPr>
                <w:rFonts w:hint="default" w:eastAsia="方正书宋_GBK"/>
                <w:lang w:val="en-US" w:eastAsia="zh-CN"/>
              </w:rPr>
            </w:pPr>
            <w:r>
              <w:rPr>
                <w:rFonts w:hint="eastAsia"/>
                <w:lang w:val="en-US" w:eastAsia="zh-CN"/>
              </w:rPr>
              <w:t>146.89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41.76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668</w:t>
            </w:r>
          </w:p>
        </w:tc>
        <w:tc>
          <w:tcPr>
            <w:tcW w:w="2835" w:type="dxa"/>
            <w:vAlign w:val="center"/>
          </w:tcPr>
          <w:p>
            <w:pPr>
              <w:pStyle w:val="12"/>
              <w:rPr>
                <w:rFonts w:hint="default" w:eastAsia="方正书宋_GBK"/>
                <w:lang w:val="en-US" w:eastAsia="zh-CN"/>
              </w:rPr>
            </w:pPr>
            <w:r>
              <w:rPr>
                <w:rFonts w:hint="eastAsia"/>
                <w:lang w:val="en-US" w:eastAsia="zh-CN"/>
              </w:rPr>
              <w:t>105.13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000000"/>
    <w:rsid w:val="004972AD"/>
    <w:rsid w:val="022466F3"/>
    <w:rsid w:val="064A73D7"/>
    <w:rsid w:val="096C38BB"/>
    <w:rsid w:val="0A677422"/>
    <w:rsid w:val="0D6537F4"/>
    <w:rsid w:val="11FE622D"/>
    <w:rsid w:val="17C03277"/>
    <w:rsid w:val="18041ADC"/>
    <w:rsid w:val="1B9A1C69"/>
    <w:rsid w:val="1CB46CF3"/>
    <w:rsid w:val="1F43567D"/>
    <w:rsid w:val="21325FDD"/>
    <w:rsid w:val="21BA76AF"/>
    <w:rsid w:val="225B7A28"/>
    <w:rsid w:val="24525B8A"/>
    <w:rsid w:val="246F411E"/>
    <w:rsid w:val="2CE57AC3"/>
    <w:rsid w:val="33DE1128"/>
    <w:rsid w:val="3411043F"/>
    <w:rsid w:val="3B662E7B"/>
    <w:rsid w:val="3CC133D5"/>
    <w:rsid w:val="3D0C5843"/>
    <w:rsid w:val="4E895320"/>
    <w:rsid w:val="4F7B4AAC"/>
    <w:rsid w:val="51BB4189"/>
    <w:rsid w:val="54561745"/>
    <w:rsid w:val="575B1B9D"/>
    <w:rsid w:val="58FC3AEC"/>
    <w:rsid w:val="5A9F0396"/>
    <w:rsid w:val="5E710B1A"/>
    <w:rsid w:val="68A6641B"/>
    <w:rsid w:val="6968122C"/>
    <w:rsid w:val="6F9E7295"/>
    <w:rsid w:val="7F2900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10359</Words>
  <Characters>12335</Characters>
  <TotalTime>3</TotalTime>
  <ScaleCrop>false</ScaleCrop>
  <LinksUpToDate>false</LinksUpToDate>
  <CharactersWithSpaces>12515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2025-02-07T09:11:00Z</dcterms:created>
  <dc:creator>Administrator</dc:creator>
  <cp:lastModifiedBy>Administrator</cp:lastModifiedBy>
  <dcterms:modified xsi:type="dcterms:W3CDTF">2025-02-08T00:30:48Z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70E0D087362845DAB8669A0730393231</vt:lpwstr>
  </property>
</Properties>
</file>