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唐山市曹妃甸区人民检察院</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bookmarkStart w:id="11" w:name="_GoBack"/>
      <w:bookmarkEnd w:id="11"/>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唐山市曹妃甸区人民检察院编制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1.办公用品采购绩效目标表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2.检察业务费绩效目标表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3.劳务费绩效目标表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4.司法救助绩效目标表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5.网络建设与运维采购绩效目标表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6.装备采购绩效目标表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7.关于下达检察机关2023年省级转移支付资金的通知（办案业务费）绩效目标表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8.关于下达检察机关2023年中央政法转移支付资金（第二批）的通知（办案业务费）绩效目标表</w:t>
      </w:r>
      <w:r>
        <w:tab/>
      </w:r>
      <w:r>
        <w:fldChar w:fldCharType="begin"/>
      </w:r>
      <w:r>
        <w:instrText xml:space="preserve">PAGEREF _Toc_4_4_0000000011 \h</w:instrText>
      </w:r>
      <w:r>
        <w:fldChar w:fldCharType="separate"/>
      </w:r>
      <w:r>
        <w:t>13</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整体绩效目标：坚持依法管理，规范运转，科学调控的原则，基础工作求实，管理观念求新，预算编制求准，开支把关求细。坚持以习近平新时代中国特色社会主义思想为指导，认真落实省、市、区委系列决策部署，积极践行“讲政治、顾大局、谋发展、重自强”检察工作总要求，聚焦法律监督主责主业，协调推进“四大检察”“十大业务”均衡发展，紧紧围绕学习宣传贯彻党的二十大精神这条主线，聚焦高质量发展主题，以“时时放心不下”的责任感，马上就办、真抓实干，全力以赴、担当履职、服务大局、为民司法，努力在加快实现“三个努力建成”“三个走在前列”新的赶考路上交出优异的检察答卷。</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(一)做好检察监督工作</w:t>
      </w:r>
    </w:p>
    <w:p>
      <w:pPr>
        <w:pStyle w:val="9"/>
      </w:pPr>
      <w:r>
        <w:t>绩效目标：打击犯罪、保障人权、维护司法公正。</w:t>
      </w:r>
    </w:p>
    <w:p>
      <w:pPr>
        <w:pStyle w:val="9"/>
      </w:pPr>
      <w:r>
        <w:t>绩效指标：错捕、捕后撤案、不起诉、判无罪率，错捕、捕后撤案、不起诉、判无罪案件占所有案件比例小于等于1.8%；立案和侦查活动监督完成率，立案侦查活动完成量占立案侦察活动任务的比例大于等于90%。</w:t>
      </w:r>
    </w:p>
    <w:p>
      <w:pPr>
        <w:pStyle w:val="9"/>
      </w:pPr>
      <w:r>
        <w:t>(二)加强普通刑事犯罪检察工作</w:t>
      </w:r>
    </w:p>
    <w:p>
      <w:pPr>
        <w:pStyle w:val="9"/>
      </w:pPr>
      <w:r>
        <w:t>绩效目标：依法严肃打击侵犯公民财产权、人身权、扰乱社会秩序等各类刑事犯罪；推进扫黑除恶常态化建设，积极参与社会综合治理，推进平安河北建设；持续做好认罪认罚从宽工作，不断提升办案质效；以规范化、专业化为导向，加强普通刑事犯罪检察人才队伍和工作机制建设。</w:t>
      </w:r>
    </w:p>
    <w:p>
      <w:pPr>
        <w:pStyle w:val="9"/>
      </w:pPr>
      <w:r>
        <w:t>绩效指标：依法履行审查逮捕、审查起诉职责，加强立案监督、侦查监督和审判监督，各类普通刑事犯罪；推进扫黑除恶常态化建设，继续加强对涉黑涉恶案件的业务指导，继续加强典型案例的评比宣传，继续加强常态化机制制度建设；坚决完成高检院提出的认罪认罚从宽案件适用率70%以上的目标，同时坚持稳中求升，不断提升监督质效纠正意见或建议的采纳率，对执行机关纠正违法意见或建议采纳数量占提出总数量的比率大于等于90%。</w:t>
      </w:r>
    </w:p>
    <w:p>
      <w:pPr>
        <w:pStyle w:val="9"/>
      </w:pPr>
      <w:r>
        <w:t>(三）全面履行民事检察职能</w:t>
      </w:r>
    </w:p>
    <w:p>
      <w:pPr>
        <w:pStyle w:val="9"/>
      </w:pPr>
      <w:r>
        <w:t>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w:t>
      </w:r>
    </w:p>
    <w:p>
      <w:pPr>
        <w:pStyle w:val="9"/>
      </w:pPr>
      <w:r>
        <w:t>绩效指标：提高办案效率，办案人员所办理的案件法定期限内结案率明显提升；检察建议采纳率，被采纳的检察建议占全部检察建议的比例大于等于80%；不支持监督申请决定息讼息访率，申请人息诉息访案件占全部不支持监督申请案件的比例大于等于50%；案件审结率，审结案件占受理案件的比例大于等于80%。</w:t>
      </w:r>
    </w:p>
    <w:p>
      <w:pPr>
        <w:pStyle w:val="9"/>
      </w:pPr>
      <w:r>
        <w:t>(四）持续加大公益诉讼检察工作力度</w:t>
      </w:r>
    </w:p>
    <w:p>
      <w:pPr>
        <w:pStyle w:val="9"/>
      </w:pPr>
      <w:r>
        <w:t>绩效目标：深入开展检察公益诉讼专项活动，加大办理“4+1”领域公益诉讼案件力度，积极稳妥开展新领域检察公益诉讼工作。进一步加大公益诉讼宣传力度，提高民众参与度。</w:t>
      </w:r>
    </w:p>
    <w:p>
      <w:pPr>
        <w:pStyle w:val="9"/>
      </w:pPr>
      <w:r>
        <w:t>绩效指标：优化案件结构，提升起诉案件占比；力争在2023年单独起诉案件数的基础上提高10%；组织利用6.5世界环境日等开展不少于2次的检察公益诉讼宣传活。 公益诉讼案件起诉率，向法院提起诉讼占全部公益诉讼案件比例大于等于90%。</w:t>
      </w:r>
    </w:p>
    <w:p>
      <w:pPr>
        <w:pStyle w:val="9"/>
      </w:pPr>
      <w:r>
        <w:t>(五)控告申诉检察业务能力整体增强</w:t>
      </w:r>
    </w:p>
    <w:p>
      <w:pPr>
        <w:pStyle w:val="9"/>
      </w:pPr>
      <w:r>
        <w:t>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w:t>
      </w:r>
    </w:p>
    <w:p>
      <w:pPr>
        <w:pStyle w:val="9"/>
      </w:pPr>
      <w:r>
        <w:t>绩效指标：控告申诉检察部门审查刑事申诉案件，应当自受理之日起3个月以内作出审查结案或者移送刑事检察部门办理的决定，并告知申诉人。重大、疑难、复杂案件，报检察长决定，可以适当延长办理期限。调取卷宗期间不计入办案期限。群众来信7日内程序性回复率达到100%，3个月内办理过程或结果答复率达到100%，到期未办结后续每月进展答复率100%；人民检察院自受理申请之日起10日内作出是否予以救助和具体救助金额的决定。涉检信访案件办结率100%；举报、信访处理结果满意率96%；国家赔偿案件办结率100%；息诉罢访率97%。</w:t>
      </w:r>
    </w:p>
    <w:p>
      <w:pPr>
        <w:pStyle w:val="9"/>
      </w:pPr>
      <w:r>
        <w:t>（六）加管监督、管理业务工作水平提升</w:t>
      </w:r>
    </w:p>
    <w:p>
      <w:pPr>
        <w:pStyle w:val="9"/>
      </w:pPr>
      <w:r>
        <w:t xml:space="preserve">绩效目标：接收、录入并及时分配各类案件；定期评查案件，使案件质量整体进一步提高，加强统一业务应用系统的规范使用和深度应用，做好案件流程监控工作，提高案件整体质量；提升案件信息公开工作的整体水平；组织做好人民监督员监督工作；确保涉案财物按规定随案移交，妥善保管。 </w:t>
      </w:r>
    </w:p>
    <w:p>
      <w:pPr>
        <w:pStyle w:val="9"/>
      </w:pPr>
      <w:r>
        <w:t>绩效指标：录入案件信息无误，及时将案件进行分流。保障律师阅卷及时方便。严格规范使用统一业务应用系统办理案件，严禁违规线下办理案件。按月制作检察业务核心数据通报，每月一份。确保涉案财物在扣押、保管、移送、执行过程中规范管理的基础上实现涉案财物信息化监督，检务保障干警满意度90%以上。各项综合业务管理工作完成率，综合业务工作任务完成情况占综合业务工作任务的比例100%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（一）完善制度建设。制定完善预算绩效管理制度、资金管理办法、工作保障制度等，为全年预算绩效目标的实现奠定制度基础。</w:t>
      </w:r>
    </w:p>
    <w:p>
      <w:pPr>
        <w:pStyle w:val="10"/>
      </w:pPr>
      <w:r>
        <w:t>（二）加强支出管理。通过优化支出结构、编细编实预算、加快履行政府采购手续、尽快启动项目、及时支付资金、6月底前细化代编预算、按规定及时下达资金等多种措施，确保支出进度达标。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加大宣传力度。</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1.办公用品采购绩效目标表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13020024P006820107627</w:t>
            </w:r>
          </w:p>
        </w:tc>
        <w:tc>
          <w:tcPr>
            <w:tcW w:w="1587" w:type="dxa"/>
            <w:vAlign w:val="center"/>
          </w:tcPr>
          <w:p>
            <w:pPr>
              <w:pStyle w:val="14"/>
            </w:pPr>
            <w:r>
              <w:t>项目名称</w:t>
            </w:r>
          </w:p>
        </w:tc>
        <w:tc>
          <w:tcPr>
            <w:tcW w:w="4422" w:type="dxa"/>
            <w:gridSpan w:val="3"/>
            <w:vAlign w:val="center"/>
          </w:tcPr>
          <w:p>
            <w:pPr>
              <w:pStyle w:val="13"/>
            </w:pPr>
            <w:r>
              <w:t>办公用品采购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63.14</w:t>
            </w:r>
          </w:p>
        </w:tc>
        <w:tc>
          <w:tcPr>
            <w:tcW w:w="1587" w:type="dxa"/>
            <w:vAlign w:val="center"/>
          </w:tcPr>
          <w:p>
            <w:pPr>
              <w:pStyle w:val="14"/>
            </w:pPr>
            <w:r>
              <w:t>其中：财政    资金</w:t>
            </w:r>
          </w:p>
        </w:tc>
        <w:tc>
          <w:tcPr>
            <w:tcW w:w="1304" w:type="dxa"/>
            <w:vAlign w:val="center"/>
          </w:tcPr>
          <w:p>
            <w:pPr>
              <w:pStyle w:val="13"/>
            </w:pPr>
            <w:r>
              <w:t>63.14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用于单位购买日常办公用品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rPr>
                <w:rFonts w:hint="eastAsia"/>
                <w:lang w:val="en-US" w:eastAsia="zh-CN"/>
              </w:rPr>
              <w:t>0%</w:t>
            </w:r>
          </w:p>
        </w:tc>
        <w:tc>
          <w:tcPr>
            <w:tcW w:w="1587" w:type="dxa"/>
            <w:vAlign w:val="center"/>
          </w:tcPr>
          <w:p>
            <w:pPr>
              <w:pStyle w:val="15"/>
            </w:pPr>
            <w:r>
              <w:rPr>
                <w:rFonts w:hint="eastAsia"/>
                <w:lang w:val="en-US" w:eastAsia="zh-CN"/>
              </w:rPr>
              <w:t>45</w:t>
            </w:r>
            <w:r>
              <w:t>%</w:t>
            </w:r>
          </w:p>
        </w:tc>
        <w:tc>
          <w:tcPr>
            <w:tcW w:w="1304" w:type="dxa"/>
            <w:vAlign w:val="center"/>
          </w:tcPr>
          <w:p>
            <w:pPr>
              <w:pStyle w:val="15"/>
            </w:pPr>
            <w:r>
              <w:t>7</w:t>
            </w:r>
            <w:r>
              <w:rPr>
                <w:rFonts w:hint="eastAsia"/>
                <w:lang w:val="en-US" w:eastAsia="zh-CN"/>
              </w:rPr>
              <w:t>0</w:t>
            </w:r>
            <w:r>
              <w:t>%</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保障办公人数</w:t>
            </w:r>
          </w:p>
        </w:tc>
        <w:tc>
          <w:tcPr>
            <w:tcW w:w="2891" w:type="dxa"/>
            <w:vAlign w:val="center"/>
          </w:tcPr>
          <w:p>
            <w:pPr>
              <w:pStyle w:val="13"/>
              <w:rPr>
                <w:rFonts w:hint="default" w:eastAsia="方正书宋_GBK"/>
                <w:lang w:val="en-US" w:eastAsia="zh-CN"/>
              </w:rPr>
            </w:pPr>
            <w:r>
              <w:t>保障办公人数</w:t>
            </w:r>
          </w:p>
        </w:tc>
        <w:tc>
          <w:tcPr>
            <w:tcW w:w="1276" w:type="dxa"/>
            <w:vAlign w:val="center"/>
          </w:tcPr>
          <w:p>
            <w:pPr>
              <w:pStyle w:val="13"/>
              <w:rPr>
                <w:rFonts w:hint="eastAsia" w:eastAsia="方正书宋_GBK"/>
                <w:lang w:val="en-US" w:eastAsia="zh-CN"/>
              </w:rPr>
            </w:pPr>
            <w:r>
              <w:rPr>
                <w:rFonts w:hint="eastAsia"/>
                <w:lang w:val="en-US" w:eastAsia="zh-CN"/>
              </w:rPr>
              <w:t>86人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运转保障率</w:t>
            </w:r>
          </w:p>
        </w:tc>
        <w:tc>
          <w:tcPr>
            <w:tcW w:w="2891" w:type="dxa"/>
            <w:vAlign w:val="center"/>
          </w:tcPr>
          <w:p>
            <w:pPr>
              <w:pStyle w:val="13"/>
            </w:pPr>
            <w:r>
              <w:t>各项日常工作保障率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经费保障及时性</w:t>
            </w:r>
          </w:p>
        </w:tc>
        <w:tc>
          <w:tcPr>
            <w:tcW w:w="2891" w:type="dxa"/>
            <w:vAlign w:val="center"/>
          </w:tcPr>
          <w:p>
            <w:pPr>
              <w:pStyle w:val="13"/>
            </w:pPr>
            <w:r>
              <w:t>以及保障各项日常办公需要</w:t>
            </w:r>
          </w:p>
        </w:tc>
        <w:tc>
          <w:tcPr>
            <w:tcW w:w="1276" w:type="dxa"/>
            <w:vAlign w:val="center"/>
          </w:tcPr>
          <w:p>
            <w:pPr>
              <w:pStyle w:val="13"/>
            </w:pPr>
            <w:r>
              <w:t>及时保障</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日常公用经费开支标准</w:t>
            </w:r>
          </w:p>
        </w:tc>
        <w:tc>
          <w:tcPr>
            <w:tcW w:w="2891" w:type="dxa"/>
            <w:vAlign w:val="center"/>
          </w:tcPr>
          <w:p>
            <w:pPr>
              <w:pStyle w:val="13"/>
            </w:pPr>
            <w:r>
              <w:t>公用经费的开支标准</w:t>
            </w:r>
          </w:p>
        </w:tc>
        <w:tc>
          <w:tcPr>
            <w:tcW w:w="1276" w:type="dxa"/>
            <w:vAlign w:val="center"/>
          </w:tcPr>
          <w:p>
            <w:pPr>
              <w:pStyle w:val="13"/>
            </w:pPr>
            <w:r>
              <w:t>按统一规定执行</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维持单位正常运转</w:t>
            </w:r>
          </w:p>
        </w:tc>
        <w:tc>
          <w:tcPr>
            <w:tcW w:w="2891" w:type="dxa"/>
            <w:vAlign w:val="center"/>
          </w:tcPr>
          <w:p>
            <w:pPr>
              <w:pStyle w:val="13"/>
            </w:pPr>
            <w:r>
              <w:t>维持单位正常运转</w:t>
            </w:r>
          </w:p>
        </w:tc>
        <w:tc>
          <w:tcPr>
            <w:tcW w:w="1276" w:type="dxa"/>
            <w:vAlign w:val="center"/>
          </w:tcPr>
          <w:p>
            <w:pPr>
              <w:pStyle w:val="13"/>
            </w:pPr>
            <w:r>
              <w:t>维持单位正常运转</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2.检察业务费绩效目标表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13020024P006841127758</w:t>
            </w:r>
          </w:p>
        </w:tc>
        <w:tc>
          <w:tcPr>
            <w:tcW w:w="1587" w:type="dxa"/>
            <w:vAlign w:val="center"/>
          </w:tcPr>
          <w:p>
            <w:pPr>
              <w:pStyle w:val="14"/>
            </w:pPr>
            <w:r>
              <w:t>项目名称</w:t>
            </w:r>
          </w:p>
        </w:tc>
        <w:tc>
          <w:tcPr>
            <w:tcW w:w="4422" w:type="dxa"/>
            <w:gridSpan w:val="3"/>
            <w:vAlign w:val="center"/>
          </w:tcPr>
          <w:p>
            <w:pPr>
              <w:pStyle w:val="13"/>
            </w:pPr>
            <w:r>
              <w:t>检察业务费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155.20</w:t>
            </w:r>
          </w:p>
        </w:tc>
        <w:tc>
          <w:tcPr>
            <w:tcW w:w="1587" w:type="dxa"/>
            <w:vAlign w:val="center"/>
          </w:tcPr>
          <w:p>
            <w:pPr>
              <w:pStyle w:val="14"/>
            </w:pPr>
            <w:r>
              <w:t>其中：财政    资金</w:t>
            </w:r>
          </w:p>
        </w:tc>
        <w:tc>
          <w:tcPr>
            <w:tcW w:w="1304" w:type="dxa"/>
            <w:vAlign w:val="center"/>
          </w:tcPr>
          <w:p>
            <w:pPr>
              <w:pStyle w:val="13"/>
            </w:pPr>
            <w:r>
              <w:t>155.20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w:t>
            </w:r>
            <w:r>
              <w:rPr>
                <w:rFonts w:hint="eastAsia"/>
              </w:rPr>
              <w:t>新媒体制作及宣传报道、主题教育活动支出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20</w:t>
            </w:r>
            <w:r>
              <w:t>%</w:t>
            </w:r>
          </w:p>
        </w:tc>
        <w:tc>
          <w:tcPr>
            <w:tcW w:w="1587" w:type="dxa"/>
            <w:vAlign w:val="center"/>
          </w:tcPr>
          <w:p>
            <w:pPr>
              <w:pStyle w:val="15"/>
            </w:pPr>
            <w:r>
              <w:rPr>
                <w:rFonts w:hint="eastAsia"/>
                <w:lang w:val="en-US" w:eastAsia="zh-CN"/>
              </w:rPr>
              <w:t>40</w:t>
            </w:r>
            <w:r>
              <w:t>%</w:t>
            </w:r>
          </w:p>
        </w:tc>
        <w:tc>
          <w:tcPr>
            <w:tcW w:w="1304" w:type="dxa"/>
            <w:vAlign w:val="center"/>
          </w:tcPr>
          <w:p>
            <w:pPr>
              <w:pStyle w:val="15"/>
            </w:pPr>
            <w:r>
              <w:rPr>
                <w:rFonts w:hint="eastAsia"/>
                <w:lang w:val="en-US" w:eastAsia="zh-CN"/>
              </w:rPr>
              <w:t>60</w:t>
            </w:r>
            <w:r>
              <w:t>%</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3.劳务费绩效目标表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13020024P00684112799E</w:t>
            </w:r>
          </w:p>
        </w:tc>
        <w:tc>
          <w:tcPr>
            <w:tcW w:w="1587" w:type="dxa"/>
            <w:vAlign w:val="center"/>
          </w:tcPr>
          <w:p>
            <w:pPr>
              <w:pStyle w:val="14"/>
            </w:pPr>
            <w:r>
              <w:t>项目名称</w:t>
            </w:r>
          </w:p>
        </w:tc>
        <w:tc>
          <w:tcPr>
            <w:tcW w:w="4422" w:type="dxa"/>
            <w:gridSpan w:val="3"/>
            <w:vAlign w:val="center"/>
          </w:tcPr>
          <w:p>
            <w:pPr>
              <w:pStyle w:val="13"/>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66.42</w:t>
            </w:r>
          </w:p>
        </w:tc>
        <w:tc>
          <w:tcPr>
            <w:tcW w:w="1587" w:type="dxa"/>
            <w:vAlign w:val="center"/>
          </w:tcPr>
          <w:p>
            <w:pPr>
              <w:pStyle w:val="14"/>
            </w:pPr>
            <w:r>
              <w:t>其中：财政    资金</w:t>
            </w:r>
          </w:p>
        </w:tc>
        <w:tc>
          <w:tcPr>
            <w:tcW w:w="1304" w:type="dxa"/>
            <w:vAlign w:val="center"/>
          </w:tcPr>
          <w:p>
            <w:pPr>
              <w:pStyle w:val="13"/>
            </w:pPr>
            <w:r>
              <w:t>66.42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人数</w:t>
            </w:r>
          </w:p>
        </w:tc>
        <w:tc>
          <w:tcPr>
            <w:tcW w:w="1276" w:type="dxa"/>
            <w:vAlign w:val="center"/>
          </w:tcPr>
          <w:p>
            <w:pPr>
              <w:pStyle w:val="13"/>
              <w:rPr>
                <w:rFonts w:hint="default" w:eastAsia="方正书宋_GBK"/>
                <w:lang w:val="en-US" w:eastAsia="zh-CN"/>
              </w:rPr>
            </w:pPr>
            <w:r>
              <w:rPr>
                <w:rFonts w:hint="eastAsia"/>
                <w:lang w:val="en-US" w:eastAsia="zh-CN"/>
              </w:rPr>
              <w:t>12人</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工资(福利)等发放精准性</w:t>
            </w:r>
          </w:p>
        </w:tc>
        <w:tc>
          <w:tcPr>
            <w:tcW w:w="2891" w:type="dxa"/>
            <w:vAlign w:val="center"/>
          </w:tcPr>
          <w:p>
            <w:pPr>
              <w:pStyle w:val="13"/>
            </w:pPr>
            <w:r>
              <w:t>工资福利等发放人员的准确性</w:t>
            </w:r>
          </w:p>
        </w:tc>
        <w:tc>
          <w:tcPr>
            <w:tcW w:w="1276" w:type="dxa"/>
            <w:vAlign w:val="center"/>
          </w:tcPr>
          <w:p>
            <w:pPr>
              <w:pStyle w:val="13"/>
              <w:rPr>
                <w:rFonts w:hint="eastAsia" w:eastAsia="方正书宋_GBK"/>
                <w:lang w:val="en-US" w:eastAsia="zh-CN"/>
              </w:rPr>
            </w:pPr>
            <w:r>
              <w:t>100</w:t>
            </w:r>
            <w:r>
              <w:rPr>
                <w:rFonts w:hint="eastAsia"/>
                <w:lang w:val="en-US" w:eastAsia="zh-CN"/>
              </w:rPr>
              <w:t>%</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社会保障(公积金)缴纳的准确性</w:t>
            </w:r>
          </w:p>
        </w:tc>
        <w:tc>
          <w:tcPr>
            <w:tcW w:w="2891" w:type="dxa"/>
            <w:vAlign w:val="center"/>
          </w:tcPr>
          <w:p>
            <w:pPr>
              <w:pStyle w:val="13"/>
            </w:pPr>
            <w:r>
              <w:t>社会保障(公积金)缴纳数据的准确性</w:t>
            </w:r>
          </w:p>
        </w:tc>
        <w:tc>
          <w:tcPr>
            <w:tcW w:w="1276" w:type="dxa"/>
            <w:vAlign w:val="center"/>
          </w:tcPr>
          <w:p>
            <w:pPr>
              <w:pStyle w:val="13"/>
              <w:rPr>
                <w:rFonts w:hint="eastAsia" w:eastAsia="方正书宋_GBK"/>
                <w:lang w:val="en-US" w:eastAsia="zh-CN"/>
              </w:rPr>
            </w:pPr>
            <w:r>
              <w:t>100</w:t>
            </w:r>
            <w:r>
              <w:rPr>
                <w:rFonts w:hint="eastAsia"/>
                <w:lang w:val="en-US" w:eastAsia="zh-CN"/>
              </w:rPr>
              <w:t>%</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工资(福利)等发放及时性</w:t>
            </w:r>
          </w:p>
        </w:tc>
        <w:tc>
          <w:tcPr>
            <w:tcW w:w="2891" w:type="dxa"/>
            <w:vAlign w:val="center"/>
          </w:tcPr>
          <w:p>
            <w:pPr>
              <w:pStyle w:val="13"/>
            </w:pPr>
            <w:r>
              <w:t>工资福利等发放的实效情况</w:t>
            </w:r>
          </w:p>
        </w:tc>
        <w:tc>
          <w:tcPr>
            <w:tcW w:w="1276" w:type="dxa"/>
            <w:vAlign w:val="center"/>
          </w:tcPr>
          <w:p>
            <w:pPr>
              <w:pStyle w:val="13"/>
            </w:pPr>
            <w:r>
              <w:t>按规定时间发放</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社会保障(公积金)缴纳的及时性</w:t>
            </w:r>
          </w:p>
        </w:tc>
        <w:tc>
          <w:tcPr>
            <w:tcW w:w="2891" w:type="dxa"/>
            <w:vAlign w:val="center"/>
          </w:tcPr>
          <w:p>
            <w:pPr>
              <w:pStyle w:val="13"/>
            </w:pPr>
            <w:r>
              <w:t>社会保障(公积金)等发放的实效情况</w:t>
            </w:r>
          </w:p>
        </w:tc>
        <w:tc>
          <w:tcPr>
            <w:tcW w:w="1276" w:type="dxa"/>
            <w:vAlign w:val="center"/>
          </w:tcPr>
          <w:p>
            <w:pPr>
              <w:pStyle w:val="13"/>
            </w:pPr>
            <w:r>
              <w:t>按规定时间发放</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福利发放标准</w:t>
            </w:r>
          </w:p>
        </w:tc>
        <w:tc>
          <w:tcPr>
            <w:tcW w:w="2891" w:type="dxa"/>
            <w:vAlign w:val="center"/>
          </w:tcPr>
          <w:p>
            <w:pPr>
              <w:pStyle w:val="13"/>
            </w:pPr>
            <w:r>
              <w:t>工资发放标准</w:t>
            </w:r>
          </w:p>
        </w:tc>
        <w:tc>
          <w:tcPr>
            <w:tcW w:w="1276" w:type="dxa"/>
            <w:vAlign w:val="center"/>
          </w:tcPr>
          <w:p>
            <w:pPr>
              <w:pStyle w:val="13"/>
            </w:pPr>
            <w:r>
              <w:t>按规定执行</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加强人员归属感保持稳定</w:t>
            </w:r>
          </w:p>
        </w:tc>
        <w:tc>
          <w:tcPr>
            <w:tcW w:w="2891" w:type="dxa"/>
            <w:vAlign w:val="center"/>
          </w:tcPr>
          <w:p>
            <w:pPr>
              <w:pStyle w:val="13"/>
            </w:pPr>
            <w:r>
              <w:t>增强干部职工的归属感，保持干部队伍相对稳定</w:t>
            </w:r>
          </w:p>
        </w:tc>
        <w:tc>
          <w:tcPr>
            <w:tcW w:w="1276" w:type="dxa"/>
            <w:vAlign w:val="center"/>
          </w:tcPr>
          <w:p>
            <w:pPr>
              <w:pStyle w:val="13"/>
              <w:rPr>
                <w:rFonts w:hint="eastAsia" w:eastAsia="方正书宋_GBK"/>
                <w:lang w:val="en-US" w:eastAsia="zh-CN"/>
              </w:rPr>
            </w:pPr>
            <w:r>
              <w:t>≥90</w:t>
            </w:r>
            <w:r>
              <w:rPr>
                <w:rFonts w:hint="eastAsia"/>
                <w:lang w:val="en-US" w:eastAsia="zh-CN"/>
              </w:rPr>
              <w:t>%</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单位人员满意度</w:t>
            </w:r>
          </w:p>
        </w:tc>
        <w:tc>
          <w:tcPr>
            <w:tcW w:w="2891" w:type="dxa"/>
            <w:vAlign w:val="center"/>
          </w:tcPr>
          <w:p>
            <w:pPr>
              <w:pStyle w:val="13"/>
            </w:pPr>
            <w:r>
              <w:t>单位人员对工资福利等发放工作的满意程度</w:t>
            </w:r>
          </w:p>
        </w:tc>
        <w:tc>
          <w:tcPr>
            <w:tcW w:w="1276" w:type="dxa"/>
            <w:vAlign w:val="center"/>
          </w:tcPr>
          <w:p>
            <w:pPr>
              <w:pStyle w:val="13"/>
              <w:rPr>
                <w:rFonts w:hint="eastAsia" w:eastAsia="方正书宋_GBK"/>
                <w:lang w:val="en-US" w:eastAsia="zh-CN"/>
              </w:rPr>
            </w:pPr>
            <w:r>
              <w:t>≥90</w:t>
            </w:r>
            <w:r>
              <w:rPr>
                <w:rFonts w:hint="eastAsia"/>
                <w:lang w:val="en-US" w:eastAsia="zh-CN"/>
              </w:rPr>
              <w:t>%</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4.司法救助绩效目标表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13020024P00684112796K</w:t>
            </w:r>
          </w:p>
        </w:tc>
        <w:tc>
          <w:tcPr>
            <w:tcW w:w="1587" w:type="dxa"/>
            <w:vAlign w:val="center"/>
          </w:tcPr>
          <w:p>
            <w:pPr>
              <w:pStyle w:val="14"/>
            </w:pPr>
            <w:r>
              <w:t>项目名称</w:t>
            </w:r>
          </w:p>
        </w:tc>
        <w:tc>
          <w:tcPr>
            <w:tcW w:w="4422" w:type="dxa"/>
            <w:gridSpan w:val="3"/>
            <w:vAlign w:val="center"/>
          </w:tcPr>
          <w:p>
            <w:pPr>
              <w:pStyle w:val="13"/>
            </w:pPr>
            <w:r>
              <w:t>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w:t>
            </w:r>
          </w:p>
        </w:tc>
        <w:tc>
          <w:tcPr>
            <w:tcW w:w="1587" w:type="dxa"/>
            <w:vAlign w:val="center"/>
          </w:tcPr>
          <w:p>
            <w:pPr>
              <w:pStyle w:val="15"/>
            </w:pPr>
            <w:r>
              <w:rPr>
                <w:rFonts w:hint="eastAsia"/>
                <w:lang w:val="en-US" w:eastAsia="zh-CN"/>
              </w:rPr>
              <w:t>0</w:t>
            </w:r>
            <w:r>
              <w:t>%</w:t>
            </w:r>
          </w:p>
        </w:tc>
        <w:tc>
          <w:tcPr>
            <w:tcW w:w="1304" w:type="dxa"/>
            <w:vAlign w:val="center"/>
          </w:tcPr>
          <w:p>
            <w:pPr>
              <w:pStyle w:val="15"/>
            </w:pPr>
            <w:r>
              <w:t>7</w:t>
            </w:r>
            <w:r>
              <w:rPr>
                <w:rFonts w:hint="eastAsia"/>
                <w:lang w:val="en-US" w:eastAsia="zh-CN"/>
              </w:rPr>
              <w:t>0</w:t>
            </w:r>
            <w:r>
              <w:t>%</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5.网络建设与运维采购绩效目标表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13020024P00683310462K</w:t>
            </w:r>
          </w:p>
        </w:tc>
        <w:tc>
          <w:tcPr>
            <w:tcW w:w="1587" w:type="dxa"/>
            <w:vAlign w:val="center"/>
          </w:tcPr>
          <w:p>
            <w:pPr>
              <w:pStyle w:val="14"/>
            </w:pPr>
            <w:r>
              <w:t>项目名称</w:t>
            </w:r>
          </w:p>
        </w:tc>
        <w:tc>
          <w:tcPr>
            <w:tcW w:w="4422" w:type="dxa"/>
            <w:gridSpan w:val="3"/>
            <w:vAlign w:val="center"/>
          </w:tcPr>
          <w:p>
            <w:pPr>
              <w:pStyle w:val="13"/>
            </w:pPr>
            <w:r>
              <w:t>网络建设与运维采购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88.50</w:t>
            </w:r>
          </w:p>
        </w:tc>
        <w:tc>
          <w:tcPr>
            <w:tcW w:w="1587" w:type="dxa"/>
            <w:vAlign w:val="center"/>
          </w:tcPr>
          <w:p>
            <w:pPr>
              <w:pStyle w:val="14"/>
            </w:pPr>
            <w:r>
              <w:t>其中：财政    资金</w:t>
            </w:r>
          </w:p>
        </w:tc>
        <w:tc>
          <w:tcPr>
            <w:tcW w:w="1304" w:type="dxa"/>
            <w:vAlign w:val="center"/>
          </w:tcPr>
          <w:p>
            <w:pPr>
              <w:pStyle w:val="13"/>
            </w:pPr>
            <w:r>
              <w:t>88.50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val="en-US" w:eastAsia="zh-CN"/>
              </w:rPr>
            </w:pPr>
            <w:r>
              <w:t>用于网络建设与运维采购</w:t>
            </w:r>
            <w:r>
              <w:rPr>
                <w:rFonts w:hint="eastAsia"/>
                <w:lang w:val="en-US" w:eastAsia="zh-CN"/>
              </w:rPr>
              <w:t>,包含服务器及软件、网站制作等费用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w:t>
            </w:r>
          </w:p>
        </w:tc>
        <w:tc>
          <w:tcPr>
            <w:tcW w:w="1587" w:type="dxa"/>
            <w:vAlign w:val="center"/>
          </w:tcPr>
          <w:p>
            <w:pPr>
              <w:pStyle w:val="15"/>
            </w:pPr>
            <w:r>
              <w:t>50%</w:t>
            </w:r>
          </w:p>
        </w:tc>
        <w:tc>
          <w:tcPr>
            <w:tcW w:w="1304" w:type="dxa"/>
            <w:vAlign w:val="center"/>
          </w:tcPr>
          <w:p>
            <w:pPr>
              <w:pStyle w:val="15"/>
            </w:pPr>
            <w:r>
              <w:t>7</w:t>
            </w:r>
            <w:r>
              <w:rPr>
                <w:rFonts w:hint="eastAsia"/>
                <w:lang w:val="en-US" w:eastAsia="zh-CN"/>
              </w:rPr>
              <w:t>0</w:t>
            </w:r>
            <w:r>
              <w:t>%</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网络运行维护覆盖率（%）</w:t>
            </w:r>
          </w:p>
        </w:tc>
        <w:tc>
          <w:tcPr>
            <w:tcW w:w="2891" w:type="dxa"/>
            <w:vAlign w:val="center"/>
          </w:tcPr>
          <w:p>
            <w:pPr>
              <w:pStyle w:val="13"/>
            </w:pPr>
            <w:r>
              <w:t>网络运行维护覆盖率（%）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验收合格合格率（%）</w:t>
            </w:r>
          </w:p>
        </w:tc>
        <w:tc>
          <w:tcPr>
            <w:tcW w:w="2891" w:type="dxa"/>
            <w:vAlign w:val="center"/>
          </w:tcPr>
          <w:p>
            <w:pPr>
              <w:pStyle w:val="13"/>
            </w:pPr>
            <w:r>
              <w:t>验收合格合格率（%）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设备使用率（%）</w:t>
            </w:r>
          </w:p>
        </w:tc>
        <w:tc>
          <w:tcPr>
            <w:tcW w:w="2891" w:type="dxa"/>
            <w:vAlign w:val="center"/>
          </w:tcPr>
          <w:p>
            <w:pPr>
              <w:pStyle w:val="13"/>
            </w:pPr>
            <w:r>
              <w:t>设备使用率（%）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6.装备采购绩效目标表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13020024P00682010759L</w:t>
            </w:r>
          </w:p>
        </w:tc>
        <w:tc>
          <w:tcPr>
            <w:tcW w:w="1587" w:type="dxa"/>
            <w:vAlign w:val="center"/>
          </w:tcPr>
          <w:p>
            <w:pPr>
              <w:pStyle w:val="14"/>
            </w:pPr>
            <w:r>
              <w:t>项目名称</w:t>
            </w:r>
          </w:p>
        </w:tc>
        <w:tc>
          <w:tcPr>
            <w:tcW w:w="4422" w:type="dxa"/>
            <w:gridSpan w:val="3"/>
            <w:vAlign w:val="center"/>
          </w:tcPr>
          <w:p>
            <w:pPr>
              <w:pStyle w:val="13"/>
            </w:pPr>
            <w:r>
              <w:t>装备采购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39.80</w:t>
            </w:r>
          </w:p>
        </w:tc>
        <w:tc>
          <w:tcPr>
            <w:tcW w:w="1587" w:type="dxa"/>
            <w:vAlign w:val="center"/>
          </w:tcPr>
          <w:p>
            <w:pPr>
              <w:pStyle w:val="14"/>
            </w:pPr>
            <w:r>
              <w:t>其中：财政    资金</w:t>
            </w:r>
          </w:p>
        </w:tc>
        <w:tc>
          <w:tcPr>
            <w:tcW w:w="1304" w:type="dxa"/>
            <w:vAlign w:val="center"/>
          </w:tcPr>
          <w:p>
            <w:pPr>
              <w:pStyle w:val="13"/>
            </w:pPr>
            <w:r>
              <w:t>39.80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rPr>
                <w:rFonts w:hint="eastAsia" w:eastAsia="方正书宋_GBK"/>
                <w:lang w:val="en-US" w:eastAsia="zh-CN"/>
              </w:rPr>
            </w:pPr>
            <w:r>
              <w:rPr>
                <w:rFonts w:hint="eastAsia"/>
              </w:rPr>
              <w:t>拟更换3层电力机房中超期使用的UPS设备</w:t>
            </w:r>
            <w:r>
              <w:rPr>
                <w:rFonts w:hint="eastAsia"/>
                <w:lang w:val="en-US" w:eastAsia="zh-CN"/>
              </w:rPr>
              <w:t>,购置笔记本、打印机等安可设备（涉密设备）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7.关于下达检察机关2023年省级转移支付资金的通知（办案业务费）绩效目标表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13020023P00000210025J</w:t>
            </w:r>
          </w:p>
        </w:tc>
        <w:tc>
          <w:tcPr>
            <w:tcW w:w="1587" w:type="dxa"/>
            <w:vAlign w:val="center"/>
          </w:tcPr>
          <w:p>
            <w:pPr>
              <w:pStyle w:val="14"/>
            </w:pPr>
            <w:r>
              <w:t>项目名称</w:t>
            </w:r>
          </w:p>
        </w:tc>
        <w:tc>
          <w:tcPr>
            <w:tcW w:w="4422" w:type="dxa"/>
            <w:gridSpan w:val="3"/>
            <w:vAlign w:val="center"/>
          </w:tcPr>
          <w:p>
            <w:pPr>
              <w:pStyle w:val="13"/>
            </w:pPr>
            <w:r>
              <w:t>关于下达检察机关2023年省级转移支付资金的通知（办案业务费）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t xml:space="preserve"> </w:t>
            </w:r>
            <w:r>
              <w:rPr>
                <w:rFonts w:hint="eastAsia"/>
                <w:lang w:val="en-US" w:eastAsia="zh-CN"/>
              </w:rPr>
              <w:t>3.18</w:t>
            </w:r>
          </w:p>
        </w:tc>
        <w:tc>
          <w:tcPr>
            <w:tcW w:w="1587" w:type="dxa"/>
            <w:vAlign w:val="center"/>
          </w:tcPr>
          <w:p>
            <w:pPr>
              <w:pStyle w:val="14"/>
            </w:pPr>
            <w:r>
              <w:t>其中：财政    资金</w:t>
            </w:r>
          </w:p>
        </w:tc>
        <w:tc>
          <w:tcPr>
            <w:tcW w:w="1304" w:type="dxa"/>
            <w:vAlign w:val="center"/>
          </w:tcPr>
          <w:p>
            <w:pPr>
              <w:pStyle w:val="13"/>
            </w:pPr>
            <w:r>
              <w:t>3.18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rPr>
                <w:rFonts w:hint="eastAsia"/>
              </w:rPr>
              <w:t>宣传册、展板、条幅、专用资料等印刷服务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w:t>
            </w:r>
          </w:p>
        </w:tc>
        <w:tc>
          <w:tcPr>
            <w:tcW w:w="1587" w:type="dxa"/>
            <w:vAlign w:val="center"/>
          </w:tcPr>
          <w:p>
            <w:pPr>
              <w:pStyle w:val="15"/>
            </w:pPr>
            <w:r>
              <w:t>50%</w:t>
            </w:r>
          </w:p>
        </w:tc>
        <w:tc>
          <w:tcPr>
            <w:tcW w:w="1304" w:type="dxa"/>
            <w:vAlign w:val="center"/>
          </w:tcPr>
          <w:p>
            <w:pPr>
              <w:pStyle w:val="15"/>
            </w:pPr>
            <w:r>
              <w:rPr>
                <w:rFonts w:hint="eastAsia"/>
                <w:lang w:val="en-US" w:eastAsia="zh-CN"/>
              </w:rPr>
              <w:t>70</w:t>
            </w:r>
            <w:r>
              <w:t>%</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印刷执行率（%）</w:t>
            </w:r>
          </w:p>
        </w:tc>
        <w:tc>
          <w:tcPr>
            <w:tcW w:w="2891" w:type="dxa"/>
            <w:vAlign w:val="center"/>
          </w:tcPr>
          <w:p>
            <w:pPr>
              <w:pStyle w:val="13"/>
            </w:pPr>
            <w:r>
              <w:t>印刷执行率（%）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印刷合格率（%）</w:t>
            </w:r>
          </w:p>
        </w:tc>
        <w:tc>
          <w:tcPr>
            <w:tcW w:w="2891" w:type="dxa"/>
            <w:vAlign w:val="center"/>
          </w:tcPr>
          <w:p>
            <w:pPr>
              <w:pStyle w:val="13"/>
            </w:pPr>
            <w:r>
              <w:t>印刷合格率（%）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w:t>
            </w:r>
            <w:r>
              <w:rPr>
                <w:rFonts w:hint="eastAsia"/>
                <w:lang w:val="en-US" w:eastAsia="zh-CN"/>
              </w:rPr>
              <w:t>4</w:t>
            </w:r>
            <w:r>
              <w:t>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满足业务开展需求</w:t>
            </w:r>
          </w:p>
        </w:tc>
        <w:tc>
          <w:tcPr>
            <w:tcW w:w="2891" w:type="dxa"/>
            <w:vAlign w:val="center"/>
          </w:tcPr>
          <w:p>
            <w:pPr>
              <w:pStyle w:val="13"/>
            </w:pPr>
            <w:r>
              <w:t>满足业务开展需求</w:t>
            </w:r>
          </w:p>
        </w:tc>
        <w:tc>
          <w:tcPr>
            <w:tcW w:w="1276" w:type="dxa"/>
            <w:vAlign w:val="center"/>
          </w:tcPr>
          <w:p>
            <w:pPr>
              <w:pStyle w:val="13"/>
            </w:pPr>
            <w:r>
              <w:t>满足业务开展需求</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8.关于下达检察机关2023年中央政法转移支付资金（第二批）的通知（办案业务费）绩效目标表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314001唐山市曹妃甸区人民检察院本级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13020023P000002100266</w:t>
            </w:r>
          </w:p>
        </w:tc>
        <w:tc>
          <w:tcPr>
            <w:tcW w:w="1587" w:type="dxa"/>
            <w:vAlign w:val="center"/>
          </w:tcPr>
          <w:p>
            <w:pPr>
              <w:pStyle w:val="14"/>
            </w:pPr>
            <w:r>
              <w:t>项目名称</w:t>
            </w:r>
          </w:p>
        </w:tc>
        <w:tc>
          <w:tcPr>
            <w:tcW w:w="4422" w:type="dxa"/>
            <w:gridSpan w:val="3"/>
            <w:vAlign w:val="center"/>
          </w:tcPr>
          <w:p>
            <w:pPr>
              <w:pStyle w:val="13"/>
            </w:pPr>
            <w:r>
              <w:t>关于下达检察机关2023年中央政法转移支付资金（第二批）的通知（办案业务费）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t xml:space="preserve"> </w:t>
            </w:r>
            <w:r>
              <w:rPr>
                <w:rFonts w:hint="eastAsia"/>
                <w:lang w:val="en-US" w:eastAsia="zh-CN"/>
              </w:rP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rPr>
                <w:rFonts w:hint="eastAsia"/>
              </w:rPr>
              <w:t>宣传册、展板、条幅、专用资料等印刷服务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0</w:t>
            </w:r>
            <w:r>
              <w:t>%</w:t>
            </w:r>
          </w:p>
        </w:tc>
        <w:tc>
          <w:tcPr>
            <w:tcW w:w="1587" w:type="dxa"/>
            <w:vAlign w:val="center"/>
          </w:tcPr>
          <w:p>
            <w:pPr>
              <w:pStyle w:val="15"/>
            </w:pPr>
            <w:r>
              <w:rPr>
                <w:rFonts w:hint="eastAsia"/>
                <w:lang w:val="en-US" w:eastAsia="zh-CN"/>
              </w:rPr>
              <w:t>0</w:t>
            </w:r>
            <w:r>
              <w:t>%</w:t>
            </w:r>
          </w:p>
        </w:tc>
        <w:tc>
          <w:tcPr>
            <w:tcW w:w="1304" w:type="dxa"/>
            <w:vAlign w:val="center"/>
          </w:tcPr>
          <w:p>
            <w:pPr>
              <w:pStyle w:val="15"/>
            </w:pPr>
            <w:r>
              <w:rPr>
                <w:rFonts w:hint="eastAsia"/>
                <w:lang w:val="en-US" w:eastAsia="zh-CN"/>
              </w:rPr>
              <w:t>70</w:t>
            </w:r>
            <w:r>
              <w:t>%</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印刷执行率（%）</w:t>
            </w:r>
          </w:p>
        </w:tc>
        <w:tc>
          <w:tcPr>
            <w:tcW w:w="2891" w:type="dxa"/>
            <w:vAlign w:val="center"/>
          </w:tcPr>
          <w:p>
            <w:pPr>
              <w:pStyle w:val="13"/>
            </w:pPr>
            <w:r>
              <w:t>印刷执行率（%）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印刷合格率（%）</w:t>
            </w:r>
          </w:p>
        </w:tc>
        <w:tc>
          <w:tcPr>
            <w:tcW w:w="2891" w:type="dxa"/>
            <w:vAlign w:val="center"/>
          </w:tcPr>
          <w:p>
            <w:pPr>
              <w:pStyle w:val="13"/>
            </w:pPr>
            <w:r>
              <w:t>印刷合格率（%）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w:t>
            </w:r>
            <w:r>
              <w:rPr>
                <w:rFonts w:hint="eastAsia"/>
                <w:lang w:val="en-US" w:eastAsia="zh-CN"/>
              </w:rPr>
              <w:t>4</w:t>
            </w:r>
            <w:r>
              <w:t>年12月31日</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满足业务开展需求</w:t>
            </w:r>
          </w:p>
        </w:tc>
        <w:tc>
          <w:tcPr>
            <w:tcW w:w="2891" w:type="dxa"/>
            <w:vAlign w:val="center"/>
          </w:tcPr>
          <w:p>
            <w:pPr>
              <w:pStyle w:val="13"/>
            </w:pPr>
            <w:r>
              <w:t>满足业务开展需求</w:t>
            </w:r>
          </w:p>
        </w:tc>
        <w:tc>
          <w:tcPr>
            <w:tcW w:w="1276" w:type="dxa"/>
            <w:vAlign w:val="center"/>
          </w:tcPr>
          <w:p>
            <w:pPr>
              <w:pStyle w:val="13"/>
            </w:pPr>
            <w:r>
              <w:t>满足业务开展需求</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ZDliZDM4NzNhNTEwYjUyNGNhZDY4Y2U2N2Q3ZTMifQ=="/>
  </w:docVars>
  <w:rsids>
    <w:rsidRoot w:val="00000000"/>
    <w:rsid w:val="0C7D5F80"/>
    <w:rsid w:val="0F9B537E"/>
    <w:rsid w:val="16EB010A"/>
    <w:rsid w:val="5BDCE6E2"/>
    <w:rsid w:val="5EC40DC3"/>
    <w:rsid w:val="FFFF9D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5550</Words>
  <Characters>6126</Characters>
  <TotalTime>66</TotalTime>
  <ScaleCrop>false</ScaleCrop>
  <LinksUpToDate>false</LinksUpToDate>
  <CharactersWithSpaces>6238</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2024-01-10T02:35:00Z</dcterms:created>
  <dc:creator>Administrator</dc:creator>
  <cp:lastModifiedBy>Administrator</cp:lastModifiedBy>
  <cp:lastPrinted>2024-01-11T14:15:00Z</cp:lastPrinted>
  <dcterms:modified xsi:type="dcterms:W3CDTF">2024-02-23T07:46:32Z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E3DBB7C761CF4910AB675B16FBDDF59C</vt:lpwstr>
  </property>
</Properties>
</file>