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唐山市曹妃甸区人民检察院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>
      <w:pPr>
        <w:spacing w:before="0" w:after="0" w:line="240" w:lineRule="auto"/>
        <w:ind w:firstLine="0"/>
        <w:jc w:val="center"/>
      </w:pPr>
      <w:bookmarkStart w:id="10" w:name="_GoBack"/>
      <w:bookmarkEnd w:id="10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唐山市曹妃甸区人民检察院编制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一、唐山市曹妃甸区人民检察院本级收支预算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根据《唐山市曹妃甸区人民检察院职能配置、内设机构和人员编制规定》，唐山市曹妃甸区人民检察院的主要职责是：</w:t>
      </w:r>
    </w:p>
    <w:p>
      <w:pPr>
        <w:pStyle w:val="8"/>
      </w:pPr>
      <w:r>
        <w:t>（一）依法向区人民代表大会和区人民代表大会常务委员会提出议案。</w:t>
      </w:r>
    </w:p>
    <w:p>
      <w:pPr>
        <w:pStyle w:val="8"/>
      </w:pPr>
      <w:r>
        <w:t>（二）对刑事犯罪案件依法审查逮捕、提起公诉，并对区人民法案开庭审理的案件依法派员出席法庭，履行法律监督职责；掌握社会治安动态，参与社会治安综合治理。</w:t>
      </w:r>
    </w:p>
    <w:p>
      <w:pPr>
        <w:pStyle w:val="8"/>
      </w:pPr>
      <w:r>
        <w:t>（三）依法对民事诉讼、行政诉讼实行法律监督工作，负责应由本院承办的提起公益诉讼案件。</w:t>
      </w:r>
    </w:p>
    <w:p>
      <w:pPr>
        <w:pStyle w:val="8"/>
      </w:pPr>
      <w:r>
        <w:t>（四）对人民法院确有错误的判决和裁定，依法向区人民法院提出抗诉。</w:t>
      </w:r>
    </w:p>
    <w:p>
      <w:pPr>
        <w:pStyle w:val="8"/>
      </w:pPr>
      <w:r>
        <w:t>（五）依法对执行机关执行刑罚的活动及监管场所活动是否合法衽监督。</w:t>
      </w:r>
    </w:p>
    <w:p>
      <w:pPr>
        <w:pStyle w:val="8"/>
      </w:pPr>
      <w:r>
        <w:t>（六）受理单位和个人的报案、控告、申诉举报和刑事赔偿工作以及犯罪嫌疑人的自首。</w:t>
      </w:r>
    </w:p>
    <w:p>
      <w:pPr>
        <w:pStyle w:val="8"/>
      </w:pPr>
      <w:r>
        <w:t>（七）负责检察技术工作和物证检验、鉴定、审核工作。</w:t>
      </w:r>
    </w:p>
    <w:p>
      <w:pPr>
        <w:pStyle w:val="8"/>
      </w:pPr>
      <w:r>
        <w:t>（八）负责检察机关的队伍建设和思想政治工作；依法管理检察官和其他检察人员的工作。</w:t>
      </w:r>
    </w:p>
    <w:p>
      <w:pPr>
        <w:pStyle w:val="8"/>
      </w:pPr>
      <w:r>
        <w:t>（九）协同区委主管部门管理干部考核及机构设置、人员编制工作；提请区人大常务委员会决定任免副检察长、监察委员会委员、检察院；组织全院的教育培训工作。</w:t>
      </w:r>
    </w:p>
    <w:p>
      <w:pPr>
        <w:pStyle w:val="8"/>
      </w:pPr>
      <w:r>
        <w:t>（十）负责其他应当由区人民检察院承办的事项。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1919.15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1919.15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1456.91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1350.40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106.51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462.24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1350.40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1350.40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215.78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215.78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74.46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111.69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3.2基础绩效奖金（补充绩效工资）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86.99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81.73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65.83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303.89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7.1人事代理人员工资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7.2人事代理人员社保缴费和住房公积金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7.3其他编外人员工资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118.86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118.86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7.4其他编外人员社保缴费和住房公积金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106.51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106.51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7.21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pPr w:leftFromText="180" w:rightFromText="180" w:vertAnchor="text" w:horzAnchor="page" w:tblpX="1634" w:tblpY="525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1226"/>
        <w:gridCol w:w="1100"/>
        <w:gridCol w:w="1150"/>
        <w:gridCol w:w="1110"/>
        <w:gridCol w:w="1000"/>
        <w:gridCol w:w="1320"/>
        <w:gridCol w:w="1170"/>
        <w:gridCol w:w="1180"/>
        <w:gridCol w:w="14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81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613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224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8390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224" w:type="dxa"/>
            <w:vMerge w:val="continue"/>
          </w:tcPr>
          <w:p/>
        </w:tc>
        <w:tc>
          <w:tcPr>
            <w:tcW w:w="1226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1150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110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00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80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60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226" w:type="dxa"/>
            <w:vAlign w:val="center"/>
          </w:tcPr>
          <w:p>
            <w:pPr>
              <w:pStyle w:val="16"/>
            </w:pPr>
          </w:p>
        </w:tc>
        <w:tc>
          <w:tcPr>
            <w:tcW w:w="1100" w:type="dxa"/>
            <w:vAlign w:val="center"/>
          </w:tcPr>
          <w:p>
            <w:pPr>
              <w:pStyle w:val="16"/>
            </w:pPr>
          </w:p>
        </w:tc>
        <w:tc>
          <w:tcPr>
            <w:tcW w:w="1150" w:type="dxa"/>
            <w:vAlign w:val="center"/>
          </w:tcPr>
          <w:p>
            <w:pPr>
              <w:pStyle w:val="16"/>
            </w:pPr>
            <w:r>
              <w:t>462.24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453.06</w:t>
            </w:r>
          </w:p>
        </w:tc>
        <w:tc>
          <w:tcPr>
            <w:tcW w:w="1000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80" w:type="dxa"/>
            <w:vAlign w:val="center"/>
          </w:tcPr>
          <w:p>
            <w:pPr>
              <w:pStyle w:val="16"/>
            </w:pPr>
          </w:p>
        </w:tc>
        <w:tc>
          <w:tcPr>
            <w:tcW w:w="1460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226" w:type="dxa"/>
            <w:vAlign w:val="center"/>
          </w:tcPr>
          <w:p>
            <w:pPr>
              <w:pStyle w:val="16"/>
            </w:pPr>
          </w:p>
        </w:tc>
        <w:tc>
          <w:tcPr>
            <w:tcW w:w="1100" w:type="dxa"/>
            <w:vAlign w:val="center"/>
          </w:tcPr>
          <w:p>
            <w:pPr>
              <w:pStyle w:val="16"/>
            </w:pPr>
          </w:p>
        </w:tc>
        <w:tc>
          <w:tcPr>
            <w:tcW w:w="1150" w:type="dxa"/>
            <w:vAlign w:val="center"/>
          </w:tcPr>
          <w:p>
            <w:pPr>
              <w:pStyle w:val="16"/>
            </w:pPr>
            <w:r>
              <w:t>9.18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</w:p>
        </w:tc>
        <w:tc>
          <w:tcPr>
            <w:tcW w:w="1000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80" w:type="dxa"/>
            <w:vAlign w:val="center"/>
          </w:tcPr>
          <w:p>
            <w:pPr>
              <w:pStyle w:val="16"/>
            </w:pPr>
          </w:p>
        </w:tc>
        <w:tc>
          <w:tcPr>
            <w:tcW w:w="1460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>1、2023年上级转移支付资金结转项目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</w:p>
        </w:tc>
        <w:tc>
          <w:tcPr>
            <w:tcW w:w="1100" w:type="dxa"/>
            <w:vAlign w:val="center"/>
          </w:tcPr>
          <w:p>
            <w:pPr>
              <w:pStyle w:val="13"/>
            </w:pP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9.18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 xml:space="preserve">      ——关于下达检察机关2023年省级转移支付资金的通知（办案业务费）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3.18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  <w:r>
              <w:t>3.18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 xml:space="preserve">      ——关于下达检察机关2023年中央政法转移支付资金（第二批）的通知（办案业务费）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  <w: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226" w:type="dxa"/>
            <w:vAlign w:val="center"/>
          </w:tcPr>
          <w:p>
            <w:pPr>
              <w:pStyle w:val="16"/>
            </w:pPr>
          </w:p>
        </w:tc>
        <w:tc>
          <w:tcPr>
            <w:tcW w:w="1100" w:type="dxa"/>
            <w:vAlign w:val="center"/>
          </w:tcPr>
          <w:p>
            <w:pPr>
              <w:pStyle w:val="16"/>
            </w:pPr>
          </w:p>
        </w:tc>
        <w:tc>
          <w:tcPr>
            <w:tcW w:w="1150" w:type="dxa"/>
            <w:vAlign w:val="center"/>
          </w:tcPr>
          <w:p>
            <w:pPr>
              <w:pStyle w:val="16"/>
            </w:pPr>
            <w:r>
              <w:t>453.06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453.06</w:t>
            </w:r>
          </w:p>
        </w:tc>
        <w:tc>
          <w:tcPr>
            <w:tcW w:w="1000" w:type="dxa"/>
            <w:vAlign w:val="center"/>
          </w:tcPr>
          <w:p>
            <w:pPr>
              <w:pStyle w:val="16"/>
            </w:pPr>
          </w:p>
        </w:tc>
        <w:tc>
          <w:tcPr>
            <w:tcW w:w="1320" w:type="dxa"/>
            <w:vAlign w:val="center"/>
          </w:tcPr>
          <w:p>
            <w:pPr>
              <w:pStyle w:val="16"/>
            </w:pPr>
          </w:p>
        </w:tc>
        <w:tc>
          <w:tcPr>
            <w:tcW w:w="1170" w:type="dxa"/>
            <w:vAlign w:val="center"/>
          </w:tcPr>
          <w:p>
            <w:pPr>
              <w:pStyle w:val="16"/>
            </w:pPr>
          </w:p>
        </w:tc>
        <w:tc>
          <w:tcPr>
            <w:tcW w:w="1180" w:type="dxa"/>
            <w:vAlign w:val="center"/>
          </w:tcPr>
          <w:p>
            <w:pPr>
              <w:pStyle w:val="16"/>
            </w:pPr>
          </w:p>
        </w:tc>
        <w:tc>
          <w:tcPr>
            <w:tcW w:w="1460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>1、其他专项（一般公共预算）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2049902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>2、网络运行维护（一般公共预算）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Merge w:val="restart"/>
            <w:vAlign w:val="center"/>
          </w:tcPr>
          <w:p>
            <w:pPr>
              <w:pStyle w:val="13"/>
            </w:pPr>
            <w:r>
              <w:t>3、专项购置（一般公共预算）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Merge w:val="continue"/>
            <w:vAlign w:val="center"/>
          </w:tcPr>
          <w:p/>
        </w:tc>
        <w:tc>
          <w:tcPr>
            <w:tcW w:w="1226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>1、其他专项（一般公共预算）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</w:p>
        </w:tc>
        <w:tc>
          <w:tcPr>
            <w:tcW w:w="1100" w:type="dxa"/>
            <w:vAlign w:val="center"/>
          </w:tcPr>
          <w:p>
            <w:pPr>
              <w:pStyle w:val="13"/>
            </w:pP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221.62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221.62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 xml:space="preserve">      ——检察业务费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vAlign w:val="center"/>
          </w:tcPr>
          <w:p>
            <w:pPr>
              <w:pStyle w:val="13"/>
            </w:pPr>
            <w:r>
              <w:t xml:space="preserve">      ——劳务费</w:t>
            </w:r>
          </w:p>
        </w:tc>
        <w:tc>
          <w:tcPr>
            <w:tcW w:w="1226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100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150" w:type="dxa"/>
            <w:vAlign w:val="center"/>
          </w:tcPr>
          <w:p>
            <w:pPr>
              <w:pStyle w:val="12"/>
            </w:pPr>
            <w:r>
              <w:t>66.42</w:t>
            </w:r>
          </w:p>
        </w:tc>
        <w:tc>
          <w:tcPr>
            <w:tcW w:w="1110" w:type="dxa"/>
            <w:vAlign w:val="center"/>
          </w:tcPr>
          <w:p>
            <w:pPr>
              <w:pStyle w:val="12"/>
            </w:pPr>
            <w:r>
              <w:t>66.42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20" w:type="dxa"/>
            <w:vAlign w:val="center"/>
          </w:tcPr>
          <w:p>
            <w:pPr>
              <w:pStyle w:val="12"/>
            </w:pPr>
          </w:p>
        </w:tc>
        <w:tc>
          <w:tcPr>
            <w:tcW w:w="1170" w:type="dxa"/>
            <w:vAlign w:val="center"/>
          </w:tcPr>
          <w:p>
            <w:pPr>
              <w:pStyle w:val="12"/>
            </w:pPr>
          </w:p>
        </w:tc>
        <w:tc>
          <w:tcPr>
            <w:tcW w:w="1180" w:type="dxa"/>
            <w:vAlign w:val="center"/>
          </w:tcPr>
          <w:p>
            <w:pPr>
              <w:pStyle w:val="12"/>
            </w:pPr>
          </w:p>
        </w:tc>
        <w:tc>
          <w:tcPr>
            <w:tcW w:w="1460" w:type="dxa"/>
            <w:vAlign w:val="center"/>
          </w:tcPr>
          <w:p>
            <w:pPr>
              <w:pStyle w:val="12"/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0"/>
        <w:gridCol w:w="1397"/>
        <w:gridCol w:w="1147"/>
        <w:gridCol w:w="1147"/>
        <w:gridCol w:w="1147"/>
        <w:gridCol w:w="1147"/>
        <w:gridCol w:w="1147"/>
        <w:gridCol w:w="1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6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252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480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851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480" w:type="dxa"/>
            <w:vMerge w:val="continue"/>
          </w:tcPr>
          <w:p/>
        </w:tc>
        <w:tc>
          <w:tcPr>
            <w:tcW w:w="139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8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397" w:type="dxa"/>
            <w:vAlign w:val="center"/>
          </w:tcPr>
          <w:p>
            <w:pPr>
              <w:pStyle w:val="16"/>
            </w:pPr>
            <w:r>
              <w:t>1919.15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  <w:r>
              <w:t>1909.97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381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  <w:r>
              <w:t>425.95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416.77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  <w:r>
              <w:t>102.80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102.80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  <w:r>
              <w:t>127.19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127.19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80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39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38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9"/>
        <w:gridCol w:w="1147"/>
        <w:gridCol w:w="1147"/>
        <w:gridCol w:w="1147"/>
        <w:gridCol w:w="1147"/>
        <w:gridCol w:w="1147"/>
        <w:gridCol w:w="1147"/>
        <w:gridCol w:w="1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2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309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89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8833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89" w:type="dxa"/>
            <w:vMerge w:val="continue"/>
          </w:tcPr>
          <w:p/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95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9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147" w:type="dxa"/>
            <w:vAlign w:val="center"/>
          </w:tcPr>
          <w:p>
            <w:pPr>
              <w:pStyle w:val="16"/>
            </w:pPr>
          </w:p>
        </w:tc>
        <w:tc>
          <w:tcPr>
            <w:tcW w:w="195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9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147" w:type="dxa"/>
            <w:vAlign w:val="center"/>
          </w:tcPr>
          <w:p>
            <w:pPr>
              <w:pStyle w:val="12"/>
            </w:pPr>
          </w:p>
        </w:tc>
        <w:tc>
          <w:tcPr>
            <w:tcW w:w="195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030"/>
        <w:gridCol w:w="1410"/>
        <w:gridCol w:w="1450"/>
        <w:gridCol w:w="780"/>
        <w:gridCol w:w="470"/>
        <w:gridCol w:w="810"/>
        <w:gridCol w:w="1000"/>
        <w:gridCol w:w="990"/>
        <w:gridCol w:w="400"/>
        <w:gridCol w:w="480"/>
        <w:gridCol w:w="640"/>
        <w:gridCol w:w="600"/>
        <w:gridCol w:w="561"/>
        <w:gridCol w:w="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59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5666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76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4671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pStyle w:val="11"/>
            </w:pPr>
            <w:r>
              <w:t>2024年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  <w:tblHeader/>
          <w:jc w:val="center"/>
        </w:trPr>
        <w:tc>
          <w:tcPr>
            <w:tcW w:w="2646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030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410" w:type="dxa"/>
            <w:vMerge w:val="continue"/>
          </w:tcPr>
          <w:p/>
        </w:tc>
        <w:tc>
          <w:tcPr>
            <w:tcW w:w="1450" w:type="dxa"/>
            <w:vMerge w:val="continue"/>
          </w:tcPr>
          <w:p/>
        </w:tc>
        <w:tc>
          <w:tcPr>
            <w:tcW w:w="780" w:type="dxa"/>
            <w:vMerge w:val="continue"/>
          </w:tcPr>
          <w:p/>
        </w:tc>
        <w:tc>
          <w:tcPr>
            <w:tcW w:w="470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1000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90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400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480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640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600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56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95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030" w:type="dxa"/>
            <w:vAlign w:val="center"/>
          </w:tcPr>
          <w:p>
            <w:pPr>
              <w:pStyle w:val="16"/>
            </w:pPr>
          </w:p>
        </w:tc>
        <w:tc>
          <w:tcPr>
            <w:tcW w:w="1410" w:type="dxa"/>
            <w:vAlign w:val="center"/>
          </w:tcPr>
          <w:p>
            <w:pPr>
              <w:pStyle w:val="17"/>
            </w:pPr>
          </w:p>
        </w:tc>
        <w:tc>
          <w:tcPr>
            <w:tcW w:w="1450" w:type="dxa"/>
            <w:vAlign w:val="center"/>
          </w:tcPr>
          <w:p>
            <w:pPr>
              <w:pStyle w:val="17"/>
            </w:pPr>
          </w:p>
        </w:tc>
        <w:tc>
          <w:tcPr>
            <w:tcW w:w="780" w:type="dxa"/>
            <w:vAlign w:val="center"/>
          </w:tcPr>
          <w:p>
            <w:pPr>
              <w:pStyle w:val="15"/>
            </w:pPr>
          </w:p>
        </w:tc>
        <w:tc>
          <w:tcPr>
            <w:tcW w:w="470" w:type="dxa"/>
            <w:vAlign w:val="center"/>
          </w:tcPr>
          <w:p>
            <w:pPr>
              <w:pStyle w:val="16"/>
            </w:pPr>
          </w:p>
        </w:tc>
        <w:tc>
          <w:tcPr>
            <w:tcW w:w="810" w:type="dxa"/>
            <w:vAlign w:val="center"/>
          </w:tcPr>
          <w:p>
            <w:pPr>
              <w:pStyle w:val="16"/>
            </w:pPr>
          </w:p>
        </w:tc>
        <w:tc>
          <w:tcPr>
            <w:tcW w:w="1000" w:type="dxa"/>
            <w:vAlign w:val="center"/>
          </w:tcPr>
          <w:p>
            <w:pPr>
              <w:pStyle w:val="16"/>
            </w:pPr>
            <w:r>
              <w:t>368.14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368.14</w:t>
            </w:r>
          </w:p>
        </w:tc>
        <w:tc>
          <w:tcPr>
            <w:tcW w:w="400" w:type="dxa"/>
            <w:vAlign w:val="center"/>
          </w:tcPr>
          <w:p>
            <w:pPr>
              <w:pStyle w:val="16"/>
            </w:pPr>
          </w:p>
        </w:tc>
        <w:tc>
          <w:tcPr>
            <w:tcW w:w="480" w:type="dxa"/>
            <w:vAlign w:val="center"/>
          </w:tcPr>
          <w:p>
            <w:pPr>
              <w:pStyle w:val="16"/>
            </w:pPr>
          </w:p>
        </w:tc>
        <w:tc>
          <w:tcPr>
            <w:tcW w:w="640" w:type="dxa"/>
            <w:vAlign w:val="center"/>
          </w:tcPr>
          <w:p>
            <w:pPr>
              <w:pStyle w:val="16"/>
            </w:pPr>
          </w:p>
        </w:tc>
        <w:tc>
          <w:tcPr>
            <w:tcW w:w="600" w:type="dxa"/>
            <w:vAlign w:val="center"/>
          </w:tcPr>
          <w:p>
            <w:pPr>
              <w:pStyle w:val="16"/>
            </w:pPr>
          </w:p>
        </w:tc>
        <w:tc>
          <w:tcPr>
            <w:tcW w:w="561" w:type="dxa"/>
            <w:vAlign w:val="center"/>
          </w:tcPr>
          <w:p>
            <w:pPr>
              <w:pStyle w:val="16"/>
            </w:pPr>
          </w:p>
        </w:tc>
        <w:tc>
          <w:tcPr>
            <w:tcW w:w="995" w:type="dxa"/>
            <w:vAlign w:val="center"/>
          </w:tcPr>
          <w:p>
            <w:pPr>
              <w:pStyle w:val="16"/>
            </w:pPr>
            <w:r>
              <w:t>368.14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5"/>
            </w:pPr>
            <w:r>
              <w:t>唐山市曹妃甸区人民检察院本级小计</w:t>
            </w:r>
          </w:p>
        </w:tc>
        <w:tc>
          <w:tcPr>
            <w:tcW w:w="1030" w:type="dxa"/>
            <w:vAlign w:val="center"/>
          </w:tcPr>
          <w:p>
            <w:pPr>
              <w:pStyle w:val="16"/>
            </w:pPr>
          </w:p>
        </w:tc>
        <w:tc>
          <w:tcPr>
            <w:tcW w:w="1410" w:type="dxa"/>
            <w:vAlign w:val="center"/>
          </w:tcPr>
          <w:p>
            <w:pPr>
              <w:pStyle w:val="17"/>
            </w:pPr>
          </w:p>
        </w:tc>
        <w:tc>
          <w:tcPr>
            <w:tcW w:w="1450" w:type="dxa"/>
            <w:vAlign w:val="center"/>
          </w:tcPr>
          <w:p>
            <w:pPr>
              <w:pStyle w:val="17"/>
            </w:pPr>
          </w:p>
        </w:tc>
        <w:tc>
          <w:tcPr>
            <w:tcW w:w="780" w:type="dxa"/>
            <w:vAlign w:val="center"/>
          </w:tcPr>
          <w:p>
            <w:pPr>
              <w:pStyle w:val="15"/>
            </w:pPr>
          </w:p>
        </w:tc>
        <w:tc>
          <w:tcPr>
            <w:tcW w:w="470" w:type="dxa"/>
            <w:vAlign w:val="center"/>
          </w:tcPr>
          <w:p>
            <w:pPr>
              <w:pStyle w:val="16"/>
            </w:pPr>
          </w:p>
        </w:tc>
        <w:tc>
          <w:tcPr>
            <w:tcW w:w="810" w:type="dxa"/>
            <w:vAlign w:val="center"/>
          </w:tcPr>
          <w:p>
            <w:pPr>
              <w:pStyle w:val="16"/>
            </w:pPr>
          </w:p>
        </w:tc>
        <w:tc>
          <w:tcPr>
            <w:tcW w:w="1000" w:type="dxa"/>
            <w:vAlign w:val="center"/>
          </w:tcPr>
          <w:p>
            <w:pPr>
              <w:pStyle w:val="16"/>
            </w:pPr>
            <w:r>
              <w:t>368.14</w:t>
            </w:r>
          </w:p>
        </w:tc>
        <w:tc>
          <w:tcPr>
            <w:tcW w:w="990" w:type="dxa"/>
            <w:vAlign w:val="center"/>
          </w:tcPr>
          <w:p>
            <w:pPr>
              <w:pStyle w:val="16"/>
            </w:pPr>
            <w:r>
              <w:t>368.14</w:t>
            </w:r>
          </w:p>
        </w:tc>
        <w:tc>
          <w:tcPr>
            <w:tcW w:w="400" w:type="dxa"/>
            <w:vAlign w:val="center"/>
          </w:tcPr>
          <w:p>
            <w:pPr>
              <w:pStyle w:val="16"/>
            </w:pPr>
          </w:p>
        </w:tc>
        <w:tc>
          <w:tcPr>
            <w:tcW w:w="480" w:type="dxa"/>
            <w:vAlign w:val="center"/>
          </w:tcPr>
          <w:p>
            <w:pPr>
              <w:pStyle w:val="16"/>
            </w:pPr>
          </w:p>
        </w:tc>
        <w:tc>
          <w:tcPr>
            <w:tcW w:w="640" w:type="dxa"/>
            <w:vAlign w:val="center"/>
          </w:tcPr>
          <w:p>
            <w:pPr>
              <w:pStyle w:val="16"/>
            </w:pPr>
          </w:p>
        </w:tc>
        <w:tc>
          <w:tcPr>
            <w:tcW w:w="600" w:type="dxa"/>
            <w:vAlign w:val="center"/>
          </w:tcPr>
          <w:p>
            <w:pPr>
              <w:pStyle w:val="16"/>
            </w:pPr>
          </w:p>
        </w:tc>
        <w:tc>
          <w:tcPr>
            <w:tcW w:w="561" w:type="dxa"/>
            <w:vAlign w:val="center"/>
          </w:tcPr>
          <w:p>
            <w:pPr>
              <w:pStyle w:val="16"/>
            </w:pPr>
          </w:p>
        </w:tc>
        <w:tc>
          <w:tcPr>
            <w:tcW w:w="995" w:type="dxa"/>
            <w:vAlign w:val="center"/>
          </w:tcPr>
          <w:p>
            <w:pPr>
              <w:pStyle w:val="16"/>
            </w:pPr>
            <w:r>
              <w:t>368.14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48.88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  <w:wordWrap w:val="0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48.88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网络接入服务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C17010200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48.88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0.51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48.88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7.76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7.76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7.76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7.76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48.88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办公设备零部件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A02021700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其他硒鼓、粉盒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A05040299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其他文教用品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A05040499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8.14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8.14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8.14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8.14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其他办公用品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A05049900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生活饮用水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A07050501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纸制品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A07100300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其他图书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A04019900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其他期刊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A04029900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其他热力生产和分配服务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C08029900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基础电信服务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C17010100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房屋租赁服务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C21020000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17.50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17.50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17.50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其他印刷服务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C23090199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其他维修和保养服务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C23129900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五金、家具和室内装修材料专门零售服务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C23140800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广告宣传服务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C23150000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C99000000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其他网络设备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A02010299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防火墙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A02010301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13.00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其他信息化设备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A02019900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其他运行维护服务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C16079900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25.50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25.50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25.50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25.50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便携式计算机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A02010108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0.95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A4 彩色打印机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A02021004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台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不间断电源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A02061504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12.80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12.80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12.80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12.80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46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030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其他家具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</w:pPr>
            <w:r>
              <w:t>A05019900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47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1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0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90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400" w:type="dxa"/>
            <w:vAlign w:val="center"/>
          </w:tcPr>
          <w:p>
            <w:pPr>
              <w:pStyle w:val="12"/>
            </w:pPr>
          </w:p>
        </w:tc>
        <w:tc>
          <w:tcPr>
            <w:tcW w:w="480" w:type="dxa"/>
            <w:vAlign w:val="center"/>
          </w:tcPr>
          <w:p>
            <w:pPr>
              <w:pStyle w:val="12"/>
            </w:pPr>
          </w:p>
        </w:tc>
        <w:tc>
          <w:tcPr>
            <w:tcW w:w="640" w:type="dxa"/>
            <w:vAlign w:val="center"/>
          </w:tcPr>
          <w:p>
            <w:pPr>
              <w:pStyle w:val="12"/>
            </w:pPr>
          </w:p>
        </w:tc>
        <w:tc>
          <w:tcPr>
            <w:tcW w:w="600" w:type="dxa"/>
            <w:vAlign w:val="center"/>
          </w:tcPr>
          <w:p>
            <w:pPr>
              <w:pStyle w:val="12"/>
            </w:pPr>
          </w:p>
        </w:tc>
        <w:tc>
          <w:tcPr>
            <w:tcW w:w="561" w:type="dxa"/>
            <w:vAlign w:val="center"/>
          </w:tcPr>
          <w:p>
            <w:pPr>
              <w:pStyle w:val="12"/>
            </w:pPr>
          </w:p>
        </w:tc>
        <w:tc>
          <w:tcPr>
            <w:tcW w:w="995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1370"/>
        <w:gridCol w:w="1085"/>
        <w:gridCol w:w="845"/>
        <w:gridCol w:w="823"/>
        <w:gridCol w:w="937"/>
        <w:gridCol w:w="731"/>
        <w:gridCol w:w="1249"/>
        <w:gridCol w:w="1000"/>
        <w:gridCol w:w="1300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24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237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207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4740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207" w:type="dxa"/>
            <w:vMerge w:val="continue"/>
          </w:tcPr>
          <w:p/>
        </w:tc>
        <w:tc>
          <w:tcPr>
            <w:tcW w:w="1370" w:type="dxa"/>
            <w:vMerge w:val="continue"/>
          </w:tcPr>
          <w:p/>
        </w:tc>
        <w:tc>
          <w:tcPr>
            <w:tcW w:w="1085" w:type="dxa"/>
            <w:vMerge w:val="continue"/>
          </w:tcPr>
          <w:p/>
        </w:tc>
        <w:tc>
          <w:tcPr>
            <w:tcW w:w="845" w:type="dxa"/>
            <w:vMerge w:val="continue"/>
          </w:tcPr>
          <w:p/>
        </w:tc>
        <w:tc>
          <w:tcPr>
            <w:tcW w:w="823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93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731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249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00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300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207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370" w:type="dxa"/>
            <w:vAlign w:val="center"/>
          </w:tcPr>
          <w:p>
            <w:pPr>
              <w:pStyle w:val="17"/>
            </w:pPr>
          </w:p>
        </w:tc>
        <w:tc>
          <w:tcPr>
            <w:tcW w:w="1085" w:type="dxa"/>
            <w:vAlign w:val="center"/>
          </w:tcPr>
          <w:p>
            <w:pPr>
              <w:pStyle w:val="17"/>
            </w:pPr>
          </w:p>
        </w:tc>
        <w:tc>
          <w:tcPr>
            <w:tcW w:w="845" w:type="dxa"/>
            <w:vAlign w:val="center"/>
          </w:tcPr>
          <w:p>
            <w:pPr>
              <w:pStyle w:val="17"/>
            </w:pPr>
          </w:p>
        </w:tc>
        <w:tc>
          <w:tcPr>
            <w:tcW w:w="823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937" w:type="dxa"/>
            <w:vAlign w:val="center"/>
          </w:tcPr>
          <w:p>
            <w:pPr>
              <w:pStyle w:val="16"/>
            </w:pPr>
            <w:r>
              <w:t>8.00</w:t>
            </w:r>
          </w:p>
        </w:tc>
        <w:tc>
          <w:tcPr>
            <w:tcW w:w="731" w:type="dxa"/>
            <w:vAlign w:val="center"/>
          </w:tcPr>
          <w:p>
            <w:pPr>
              <w:pStyle w:val="16"/>
            </w:pPr>
          </w:p>
        </w:tc>
        <w:tc>
          <w:tcPr>
            <w:tcW w:w="1249" w:type="dxa"/>
            <w:vAlign w:val="center"/>
          </w:tcPr>
          <w:p>
            <w:pPr>
              <w:pStyle w:val="16"/>
            </w:pPr>
          </w:p>
        </w:tc>
        <w:tc>
          <w:tcPr>
            <w:tcW w:w="1000" w:type="dxa"/>
            <w:vAlign w:val="center"/>
          </w:tcPr>
          <w:p>
            <w:pPr>
              <w:pStyle w:val="16"/>
            </w:pPr>
          </w:p>
        </w:tc>
        <w:tc>
          <w:tcPr>
            <w:tcW w:w="1300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  <w:ind w:firstLine="0" w:firstLineChars="0"/>
            </w:pPr>
            <w: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207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1370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1085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845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823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93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731" w:type="dxa"/>
            <w:vAlign w:val="center"/>
          </w:tcPr>
          <w:p>
            <w:pPr>
              <w:pStyle w:val="12"/>
            </w:pPr>
          </w:p>
        </w:tc>
        <w:tc>
          <w:tcPr>
            <w:tcW w:w="1249" w:type="dxa"/>
            <w:vAlign w:val="center"/>
          </w:tcPr>
          <w:p>
            <w:pPr>
              <w:pStyle w:val="12"/>
            </w:pPr>
          </w:p>
        </w:tc>
        <w:tc>
          <w:tcPr>
            <w:tcW w:w="1000" w:type="dxa"/>
            <w:vAlign w:val="center"/>
          </w:tcPr>
          <w:p>
            <w:pPr>
              <w:pStyle w:val="12"/>
            </w:pPr>
          </w:p>
        </w:tc>
        <w:tc>
          <w:tcPr>
            <w:tcW w:w="1300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ind w:firstLine="0" w:firstLineChars="0"/>
            </w:pPr>
            <w:r>
              <w:t>8.00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1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1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862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314唐山市曹妃甸区人民检察院</w:t>
            </w:r>
          </w:p>
        </w:tc>
        <w:tc>
          <w:tcPr>
            <w:tcW w:w="532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801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4801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Merge w:val="continue"/>
          </w:tcPr>
          <w:p/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4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1507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1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  <w:r>
              <w:t>13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  <w:r>
              <w:t>47</w:t>
            </w: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</w:p>
        </w:tc>
        <w:tc>
          <w:tcPr>
            <w:tcW w:w="764" w:type="dxa"/>
            <w:vAlign w:val="center"/>
          </w:tcPr>
          <w:p>
            <w:pPr>
              <w:pStyle w:val="15"/>
            </w:pPr>
            <w:r>
              <w:t>25</w:t>
            </w:r>
          </w:p>
        </w:tc>
        <w:tc>
          <w:tcPr>
            <w:tcW w:w="1507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1" w:type="dxa"/>
            <w:vAlign w:val="center"/>
          </w:tcPr>
          <w:p>
            <w:pPr>
              <w:pStyle w:val="13"/>
            </w:pPr>
            <w:r>
              <w:t>唐山市曹妃甸区人民检察院本级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13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51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47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</w:pPr>
          </w:p>
        </w:tc>
        <w:tc>
          <w:tcPr>
            <w:tcW w:w="764" w:type="dxa"/>
            <w:vAlign w:val="center"/>
          </w:tcPr>
          <w:p>
            <w:pPr>
              <w:pStyle w:val="14"/>
            </w:pPr>
            <w:r>
              <w:t>25</w:t>
            </w:r>
          </w:p>
        </w:tc>
        <w:tc>
          <w:tcPr>
            <w:tcW w:w="150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一、唐山市曹妃甸区人民检察院本级收支预算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1919.15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1909.97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1919.15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1456.91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1350.40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106.51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462.24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1350.40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1350.40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215.78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215.78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74.46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111.69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111.69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86.99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158.75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81.73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2.12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65.83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303.89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303.89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109.34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39.21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118.86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118.86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87.19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72.43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72.43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1.88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0.15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106.51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106.51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87.02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87.02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2.48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27.78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1.75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26.03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7.21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4.81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462.24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453.06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关于下达检察机关2023年省级转移支付资金的通知（办案业务费）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3.18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关于下达检察机关2023年中央政法转移支付资金（第二批）的通知（办案业务费）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办公用品采购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63.14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155.20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66.42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66.42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司法救助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2049902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网络建设与运维采购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88.50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39.80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1919.15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1909.97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1263.21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425.95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416.77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127.19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127.19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314001唐山市曹妃甸区人民检察院本级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19.00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DliZDM4NzNhNTEwYjUyNGNhZDY4Y2U2N2Q3ZTMifQ=="/>
  </w:docVars>
  <w:rsids>
    <w:rsidRoot w:val="00000000"/>
    <w:rsid w:val="0E395A45"/>
    <w:rsid w:val="2D9D3C2E"/>
    <w:rsid w:val="3C794D05"/>
    <w:rsid w:val="416860A4"/>
    <w:rsid w:val="44E372E7"/>
    <w:rsid w:val="64861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2024-01-09T10:34:55Z</dcterms:created>
  <dcterms:modified xsi:type="dcterms:W3CDTF">2024-01-09T02:34:55Z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2024-01-09T10:34:57Z</dcterms:created>
  <dcterms:modified xsi:type="dcterms:W3CDTF">2024-01-09T02:34:57Z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2024-01-09T10:34:55Z</dcterms:created>
  <dcterms:modified xsi:type="dcterms:W3CDTF">2024-01-09T02:34:55Z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a02fc3b-d389-4cf7-a623-ba210c02055f}">
  <ds:schemaRefs/>
</ds:datastoreItem>
</file>

<file path=customXml/itemProps2.xml><?xml version="1.0" encoding="utf-8"?>
<ds:datastoreItem xmlns:ds="http://schemas.openxmlformats.org/officeDocument/2006/customXml" ds:itemID="{933e95bc-a902-48f7-a046-d2ee1a3068a1}">
  <ds:schemaRefs/>
</ds:datastoreItem>
</file>

<file path=customXml/itemProps3.xml><?xml version="1.0" encoding="utf-8"?>
<ds:datastoreItem xmlns:ds="http://schemas.openxmlformats.org/officeDocument/2006/customXml" ds:itemID="{fc339833-10cc-444c-815e-871dc2c78128}">
  <ds:schemaRefs/>
</ds:datastoreItem>
</file>

<file path=customXml/itemProps4.xml><?xml version="1.0" encoding="utf-8"?>
<ds:datastoreItem xmlns:ds="http://schemas.openxmlformats.org/officeDocument/2006/customXml" ds:itemID="{0e83d684-a2b0-454d-8330-e809a7caa07f}">
  <ds:schemaRefs/>
</ds:datastoreItem>
</file>

<file path=customXml/itemProps5.xml><?xml version="1.0" encoding="utf-8"?>
<ds:datastoreItem xmlns:ds="http://schemas.openxmlformats.org/officeDocument/2006/customXml" ds:itemID="{fb1f662e-4c76-42b4-befa-bf2980730b7c}">
  <ds:schemaRefs/>
</ds:datastoreItem>
</file>

<file path=customXml/itemProps6.xml><?xml version="1.0" encoding="utf-8"?>
<ds:datastoreItem xmlns:ds="http://schemas.openxmlformats.org/officeDocument/2006/customXml" ds:itemID="{d7d01692-69dd-443a-aaf2-71f947b75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5985</Words>
  <Characters>9858</Characters>
  <TotalTime>0</TotalTime>
  <ScaleCrop>false</ScaleCrop>
  <LinksUpToDate>false</LinksUpToDate>
  <CharactersWithSpaces>10312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2024-01-09T10:34:00Z</dcterms:created>
  <dc:creator>Administrator</dc:creator>
  <cp:lastModifiedBy>Administrator</cp:lastModifiedBy>
  <cp:lastPrinted>2024-01-09T03:31:00Z</cp:lastPrinted>
  <dcterms:modified xsi:type="dcterms:W3CDTF">2024-02-23T07:47:09Z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C56A88C005C54C5AACA7B82D75A40441</vt:lpwstr>
  </property>
</Properties>
</file>