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4663" w:rsidRDefault="003A4663" w:rsidP="003A4663">
      <w:pPr>
        <w:jc w:val="center"/>
        <w:rPr>
          <w:rFonts w:ascii="宋体" w:eastAsia="宋体" w:hAnsi="宋体"/>
          <w:b/>
          <w:color w:val="000000"/>
          <w:sz w:val="72"/>
        </w:rPr>
      </w:pPr>
    </w:p>
    <w:p w:rsidR="001B285D" w:rsidRDefault="001B285D" w:rsidP="001B285D">
      <w:pPr>
        <w:jc w:val="center"/>
        <w:rPr>
          <w:rFonts w:ascii="Times New Roman" w:eastAsia="方正小标宋_GBK" w:hAnsi="Times New Roman" w:cs="Times New Roman"/>
          <w:sz w:val="72"/>
          <w:szCs w:val="72"/>
        </w:rPr>
      </w:pPr>
    </w:p>
    <w:p w:rsidR="00E57B26" w:rsidRPr="00593F05" w:rsidRDefault="003A4663" w:rsidP="001B285D">
      <w:pPr>
        <w:jc w:val="center"/>
        <w:rPr>
          <w:rFonts w:asciiTheme="majorEastAsia" w:eastAsiaTheme="majorEastAsia" w:hAnsiTheme="majorEastAsia" w:cs="Times New Roman"/>
          <w:b/>
          <w:sz w:val="72"/>
          <w:szCs w:val="72"/>
        </w:rPr>
      </w:pPr>
      <w:r w:rsidRPr="00593F05">
        <w:rPr>
          <w:rFonts w:asciiTheme="majorEastAsia" w:eastAsiaTheme="majorEastAsia" w:hAnsiTheme="majorEastAsia" w:cs="Times New Roman"/>
          <w:b/>
          <w:sz w:val="72"/>
          <w:szCs w:val="72"/>
        </w:rPr>
        <w:t>2022年唐山市部门绩效</w:t>
      </w:r>
    </w:p>
    <w:p w:rsidR="00593F05" w:rsidRPr="00593F05" w:rsidRDefault="00593F05" w:rsidP="001B285D">
      <w:pPr>
        <w:jc w:val="center"/>
        <w:rPr>
          <w:rFonts w:asciiTheme="majorEastAsia" w:eastAsiaTheme="majorEastAsia" w:hAnsiTheme="majorEastAsia" w:cs="Times New Roman"/>
          <w:b/>
          <w:sz w:val="72"/>
          <w:szCs w:val="72"/>
        </w:rPr>
      </w:pPr>
      <w:r w:rsidRPr="00593F05">
        <w:rPr>
          <w:rFonts w:asciiTheme="majorEastAsia" w:eastAsiaTheme="majorEastAsia" w:hAnsiTheme="majorEastAsia" w:cs="Times New Roman" w:hint="eastAsia"/>
          <w:b/>
          <w:sz w:val="72"/>
          <w:szCs w:val="72"/>
        </w:rPr>
        <w:t>(草案)</w:t>
      </w:r>
    </w:p>
    <w:p w:rsidR="001935DF" w:rsidRDefault="001935DF" w:rsidP="003A4663">
      <w:pPr>
        <w:jc w:val="center"/>
        <w:rPr>
          <w:rFonts w:ascii="楷体" w:eastAsia="楷体" w:hAnsi="楷体" w:cs="Times New Roman"/>
          <w:sz w:val="48"/>
          <w:szCs w:val="48"/>
        </w:rPr>
      </w:pPr>
    </w:p>
    <w:p w:rsidR="001935DF" w:rsidRDefault="001935DF" w:rsidP="003A4663">
      <w:pPr>
        <w:jc w:val="center"/>
        <w:rPr>
          <w:rFonts w:ascii="楷体" w:eastAsia="楷体" w:hAnsi="楷体" w:cs="Times New Roman"/>
          <w:sz w:val="48"/>
          <w:szCs w:val="48"/>
        </w:rPr>
      </w:pPr>
    </w:p>
    <w:p w:rsidR="001935DF" w:rsidRPr="00593F05" w:rsidRDefault="001935DF" w:rsidP="003A4663">
      <w:pPr>
        <w:jc w:val="center"/>
        <w:rPr>
          <w:rFonts w:ascii="楷体" w:eastAsia="楷体" w:hAnsi="楷体" w:cs="Times New Roman"/>
          <w:sz w:val="52"/>
          <w:szCs w:val="52"/>
        </w:rPr>
      </w:pPr>
    </w:p>
    <w:p w:rsidR="003A4663" w:rsidRPr="00593F05" w:rsidRDefault="003A4663" w:rsidP="003A4663">
      <w:pPr>
        <w:jc w:val="center"/>
        <w:rPr>
          <w:rFonts w:ascii="楷体" w:eastAsia="楷体" w:hAnsi="楷体" w:cs="Times New Roman"/>
          <w:b/>
          <w:sz w:val="52"/>
          <w:szCs w:val="52"/>
        </w:rPr>
      </w:pPr>
      <w:r w:rsidRPr="00593F05">
        <w:rPr>
          <w:rFonts w:ascii="楷体" w:eastAsia="楷体" w:hAnsi="楷体" w:cs="Times New Roman"/>
          <w:b/>
          <w:sz w:val="52"/>
          <w:szCs w:val="52"/>
        </w:rPr>
        <w:t>河北省唐山市人民检察院</w:t>
      </w:r>
    </w:p>
    <w:p w:rsidR="003A4663" w:rsidRDefault="003A4663" w:rsidP="003A4663">
      <w:pPr>
        <w:jc w:val="center"/>
        <w:rPr>
          <w:rFonts w:ascii="楷体" w:eastAsia="楷体" w:hAnsi="宋体"/>
          <w:b/>
          <w:color w:val="000000"/>
          <w:sz w:val="52"/>
        </w:rPr>
      </w:pPr>
    </w:p>
    <w:p w:rsidR="003A4663" w:rsidRDefault="003A4663" w:rsidP="003A4663">
      <w:pPr>
        <w:jc w:val="center"/>
        <w:rPr>
          <w:rFonts w:ascii="楷体" w:eastAsia="楷体" w:hAnsi="宋体"/>
          <w:b/>
          <w:color w:val="000000"/>
          <w:sz w:val="52"/>
        </w:rPr>
      </w:pPr>
    </w:p>
    <w:p w:rsidR="003A4663" w:rsidRDefault="003A4663" w:rsidP="003A4663">
      <w:pPr>
        <w:jc w:val="center"/>
        <w:rPr>
          <w:rFonts w:ascii="楷体" w:eastAsia="楷体" w:hAnsi="宋体"/>
          <w:b/>
          <w:color w:val="000000"/>
          <w:sz w:val="52"/>
        </w:rPr>
      </w:pPr>
    </w:p>
    <w:p w:rsidR="001B285D" w:rsidRDefault="001B285D" w:rsidP="003A4663">
      <w:pPr>
        <w:jc w:val="center"/>
        <w:rPr>
          <w:rFonts w:ascii="Times New Roman" w:eastAsia="方正楷体_GBK" w:hAnsi="Times New Roman" w:cs="Times New Roman"/>
          <w:b/>
          <w:sz w:val="32"/>
        </w:rPr>
      </w:pPr>
    </w:p>
    <w:p w:rsidR="001B285D" w:rsidRDefault="001B285D" w:rsidP="003A4663">
      <w:pPr>
        <w:jc w:val="center"/>
        <w:rPr>
          <w:rFonts w:ascii="Times New Roman" w:eastAsia="方正楷体_GBK" w:hAnsi="Times New Roman" w:cs="Times New Roman"/>
          <w:b/>
          <w:sz w:val="32"/>
        </w:rPr>
      </w:pPr>
    </w:p>
    <w:p w:rsidR="001B285D" w:rsidRPr="00593F05" w:rsidRDefault="001B285D" w:rsidP="003A4663">
      <w:pPr>
        <w:jc w:val="center"/>
        <w:rPr>
          <w:rFonts w:ascii="楷体" w:eastAsia="楷体" w:hAnsi="楷体" w:cs="Times New Roman"/>
          <w:b/>
          <w:sz w:val="52"/>
          <w:szCs w:val="52"/>
        </w:rPr>
      </w:pPr>
    </w:p>
    <w:p w:rsidR="003A4663" w:rsidRPr="00593F05" w:rsidRDefault="003A4663" w:rsidP="003A4663">
      <w:pPr>
        <w:jc w:val="center"/>
        <w:rPr>
          <w:rFonts w:ascii="楷体" w:eastAsia="楷体" w:hAnsi="楷体" w:cs="Times New Roman"/>
          <w:b/>
          <w:sz w:val="52"/>
          <w:szCs w:val="52"/>
        </w:rPr>
      </w:pPr>
      <w:r w:rsidRPr="00593F05">
        <w:rPr>
          <w:rFonts w:ascii="楷体" w:eastAsia="楷体" w:hAnsi="楷体" w:cs="Times New Roman"/>
          <w:b/>
          <w:sz w:val="52"/>
          <w:szCs w:val="52"/>
        </w:rPr>
        <w:t>河北省唐山市人民检察院编制</w:t>
      </w:r>
    </w:p>
    <w:p w:rsidR="003A4663" w:rsidRPr="00593F05" w:rsidRDefault="003A4663" w:rsidP="003A4663">
      <w:pPr>
        <w:jc w:val="center"/>
        <w:rPr>
          <w:rFonts w:ascii="楷体" w:eastAsia="楷体" w:hAnsi="楷体"/>
          <w:b/>
          <w:color w:val="000000"/>
          <w:sz w:val="52"/>
          <w:szCs w:val="52"/>
        </w:rPr>
        <w:sectPr w:rsidR="003A4663" w:rsidRPr="00593F05" w:rsidSect="003A4663">
          <w:pgSz w:w="11906" w:h="16838"/>
          <w:pgMar w:top="1440" w:right="1800" w:bottom="1440" w:left="1800" w:header="851" w:footer="992" w:gutter="0"/>
          <w:cols w:space="425"/>
          <w:docGrid w:type="lines" w:linePitch="312"/>
        </w:sectPr>
      </w:pPr>
      <w:r w:rsidRPr="00593F05">
        <w:rPr>
          <w:rFonts w:ascii="楷体" w:eastAsia="楷体" w:hAnsi="楷体" w:cs="Times New Roman"/>
          <w:b/>
          <w:sz w:val="52"/>
          <w:szCs w:val="52"/>
        </w:rPr>
        <w:t>唐山市财政局审核</w:t>
      </w:r>
    </w:p>
    <w:p w:rsidR="00E57B26" w:rsidRPr="00593F05" w:rsidRDefault="00E57B26" w:rsidP="00E57B26">
      <w:pPr>
        <w:jc w:val="center"/>
        <w:rPr>
          <w:rFonts w:asciiTheme="minorEastAsia" w:hAnsiTheme="minorEastAsia"/>
          <w:b/>
          <w:sz w:val="32"/>
          <w:szCs w:val="32"/>
        </w:rPr>
      </w:pPr>
      <w:r w:rsidRPr="00593F05">
        <w:rPr>
          <w:rFonts w:asciiTheme="minorEastAsia" w:hAnsiTheme="minorEastAsia"/>
          <w:b/>
          <w:sz w:val="32"/>
          <w:szCs w:val="32"/>
        </w:rPr>
        <w:lastRenderedPageBreak/>
        <w:t>目   录</w:t>
      </w:r>
    </w:p>
    <w:p w:rsidR="00E57B26" w:rsidRPr="00593F05" w:rsidRDefault="00E57B26" w:rsidP="00E57B26">
      <w:pPr>
        <w:jc w:val="center"/>
        <w:rPr>
          <w:rFonts w:asciiTheme="minorEastAsia" w:hAnsiTheme="minorEastAsia"/>
          <w:b/>
          <w:sz w:val="32"/>
          <w:szCs w:val="32"/>
        </w:rPr>
      </w:pPr>
      <w:r w:rsidRPr="00593F05">
        <w:rPr>
          <w:rFonts w:asciiTheme="minorEastAsia" w:hAnsiTheme="minorEastAsia"/>
          <w:b/>
          <w:sz w:val="32"/>
          <w:szCs w:val="32"/>
        </w:rPr>
        <w:t xml:space="preserve"> </w:t>
      </w:r>
    </w:p>
    <w:p w:rsidR="00E57B26" w:rsidRPr="00593F05" w:rsidRDefault="00E57B26" w:rsidP="00E57B26">
      <w:pPr>
        <w:rPr>
          <w:rFonts w:asciiTheme="minorEastAsia" w:hAnsiTheme="minorEastAsia"/>
          <w:b/>
          <w:sz w:val="32"/>
          <w:szCs w:val="32"/>
        </w:rPr>
      </w:pPr>
      <w:r w:rsidRPr="00593F05">
        <w:rPr>
          <w:rFonts w:asciiTheme="minorEastAsia" w:hAnsiTheme="minorEastAsia" w:hint="eastAsia"/>
          <w:b/>
          <w:sz w:val="32"/>
          <w:szCs w:val="32"/>
        </w:rPr>
        <w:t>第一部分  2022年部门整体绩效目标</w:t>
      </w:r>
      <w:r w:rsidR="00593F05" w:rsidRPr="00593F05">
        <w:rPr>
          <w:rFonts w:asciiTheme="minorEastAsia" w:hAnsiTheme="minorEastAsia"/>
          <w:b/>
          <w:sz w:val="32"/>
          <w:szCs w:val="32"/>
        </w:rPr>
        <w:t>.......</w:t>
      </w:r>
      <w:r w:rsidRPr="00593F05">
        <w:rPr>
          <w:rFonts w:asciiTheme="minorEastAsia" w:hAnsiTheme="minorEastAsia"/>
          <w:b/>
          <w:sz w:val="32"/>
          <w:szCs w:val="32"/>
        </w:rPr>
        <w:t>...</w:t>
      </w:r>
      <w:r w:rsidR="001B285D" w:rsidRPr="00593F05">
        <w:rPr>
          <w:rFonts w:asciiTheme="minorEastAsia" w:hAnsiTheme="minorEastAsia"/>
          <w:b/>
          <w:sz w:val="32"/>
          <w:szCs w:val="32"/>
        </w:rPr>
        <w:t>.......</w:t>
      </w:r>
      <w:r w:rsidRPr="00593F05">
        <w:rPr>
          <w:rFonts w:asciiTheme="minorEastAsia" w:hAnsiTheme="minorEastAsia" w:hint="eastAsia"/>
          <w:b/>
          <w:sz w:val="32"/>
          <w:szCs w:val="32"/>
        </w:rPr>
        <w:t>1</w:t>
      </w:r>
    </w:p>
    <w:p w:rsidR="00E57B26" w:rsidRPr="00593F05" w:rsidRDefault="00E57B26" w:rsidP="00E57B26">
      <w:pPr>
        <w:rPr>
          <w:rFonts w:asciiTheme="minorEastAsia" w:hAnsiTheme="minorEastAsia"/>
          <w:b/>
          <w:sz w:val="32"/>
          <w:szCs w:val="32"/>
        </w:rPr>
      </w:pPr>
      <w:r w:rsidRPr="00593F05">
        <w:rPr>
          <w:rFonts w:asciiTheme="minorEastAsia" w:hAnsiTheme="minorEastAsia"/>
          <w:b/>
          <w:sz w:val="32"/>
          <w:szCs w:val="32"/>
        </w:rPr>
        <w:t>第</w:t>
      </w:r>
      <w:r w:rsidR="001B285D" w:rsidRPr="00593F05">
        <w:rPr>
          <w:rFonts w:asciiTheme="minorEastAsia" w:hAnsiTheme="minorEastAsia" w:hint="eastAsia"/>
          <w:b/>
          <w:sz w:val="32"/>
          <w:szCs w:val="32"/>
        </w:rPr>
        <w:t>二</w:t>
      </w:r>
      <w:r w:rsidRPr="00593F05">
        <w:rPr>
          <w:rFonts w:asciiTheme="minorEastAsia" w:hAnsiTheme="minorEastAsia"/>
          <w:b/>
          <w:sz w:val="32"/>
          <w:szCs w:val="32"/>
        </w:rPr>
        <w:t>部分  预算项目绩效目标</w:t>
      </w:r>
      <w:r w:rsidR="00593F05" w:rsidRPr="00593F05">
        <w:rPr>
          <w:rFonts w:asciiTheme="minorEastAsia" w:hAnsiTheme="minorEastAsia"/>
          <w:b/>
          <w:sz w:val="32"/>
          <w:szCs w:val="32"/>
        </w:rPr>
        <w:t>...........</w:t>
      </w:r>
      <w:r w:rsidRPr="00593F05">
        <w:rPr>
          <w:rFonts w:asciiTheme="minorEastAsia" w:hAnsiTheme="minorEastAsia"/>
          <w:b/>
          <w:sz w:val="32"/>
          <w:szCs w:val="32"/>
        </w:rPr>
        <w:t>............</w:t>
      </w:r>
      <w:r w:rsidR="001B285D" w:rsidRPr="00593F05">
        <w:rPr>
          <w:rFonts w:asciiTheme="minorEastAsia" w:hAnsiTheme="minorEastAsia" w:hint="eastAsia"/>
          <w:b/>
          <w:sz w:val="32"/>
          <w:szCs w:val="32"/>
        </w:rPr>
        <w:t xml:space="preserve"> 6</w:t>
      </w:r>
    </w:p>
    <w:p w:rsidR="003A4663" w:rsidRDefault="003A4663" w:rsidP="00593F05">
      <w:pP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E57B26" w:rsidRDefault="00E57B26" w:rsidP="003A4663">
      <w:pPr>
        <w:jc w:val="center"/>
        <w:rPr>
          <w:rFonts w:ascii="楷体" w:eastAsia="楷体" w:hAnsi="宋体"/>
          <w:b/>
          <w:color w:val="000000"/>
          <w:sz w:val="52"/>
        </w:rPr>
      </w:pPr>
    </w:p>
    <w:p w:rsidR="001935DF" w:rsidRDefault="001935DF" w:rsidP="003A4663">
      <w:pPr>
        <w:jc w:val="center"/>
        <w:rPr>
          <w:rFonts w:ascii="楷体" w:eastAsia="楷体" w:hAnsi="宋体"/>
          <w:b/>
          <w:color w:val="000000"/>
          <w:sz w:val="52"/>
        </w:rPr>
      </w:pPr>
    </w:p>
    <w:p w:rsidR="00E57B26" w:rsidRPr="007E2151" w:rsidRDefault="00E57B26" w:rsidP="00E57B26">
      <w:pPr>
        <w:spacing w:line="700" w:lineRule="exact"/>
        <w:jc w:val="center"/>
        <w:rPr>
          <w:rFonts w:asciiTheme="minorEastAsia" w:hAnsiTheme="minorEastAsia"/>
          <w:b/>
          <w:sz w:val="44"/>
          <w:szCs w:val="44"/>
        </w:rPr>
      </w:pPr>
      <w:r w:rsidRPr="007E2151">
        <w:rPr>
          <w:rFonts w:asciiTheme="minorEastAsia" w:hAnsiTheme="minorEastAsia"/>
          <w:b/>
          <w:sz w:val="44"/>
          <w:szCs w:val="44"/>
        </w:rPr>
        <w:lastRenderedPageBreak/>
        <w:t>第一部分</w:t>
      </w:r>
    </w:p>
    <w:p w:rsidR="00E57B26" w:rsidRPr="00D3615A" w:rsidRDefault="00E57B26" w:rsidP="00D3615A">
      <w:pPr>
        <w:spacing w:line="700" w:lineRule="exact"/>
        <w:jc w:val="center"/>
        <w:rPr>
          <w:rFonts w:asciiTheme="minorEastAsia" w:hAnsiTheme="minorEastAsia"/>
          <w:b/>
          <w:sz w:val="44"/>
          <w:szCs w:val="44"/>
        </w:rPr>
      </w:pPr>
      <w:r w:rsidRPr="007E2151">
        <w:rPr>
          <w:rFonts w:asciiTheme="minorEastAsia" w:hAnsiTheme="minorEastAsia"/>
          <w:b/>
          <w:sz w:val="44"/>
          <w:szCs w:val="44"/>
        </w:rPr>
        <w:t>2022年部门整体绩效目标</w:t>
      </w:r>
    </w:p>
    <w:p w:rsidR="00E57B26" w:rsidRPr="007E2151" w:rsidRDefault="00E57B26" w:rsidP="003F157E">
      <w:pPr>
        <w:pStyle w:val="a8"/>
        <w:numPr>
          <w:ilvl w:val="0"/>
          <w:numId w:val="1"/>
        </w:numPr>
        <w:spacing w:beforeLines="50" w:before="156" w:afterLines="50" w:after="156" w:line="580" w:lineRule="exact"/>
        <w:ind w:firstLineChars="0"/>
        <w:rPr>
          <w:rFonts w:asciiTheme="minorEastAsia" w:hAnsiTheme="minorEastAsia"/>
          <w:b/>
          <w:sz w:val="32"/>
          <w:szCs w:val="32"/>
        </w:rPr>
      </w:pPr>
      <w:r w:rsidRPr="007E2151">
        <w:rPr>
          <w:rFonts w:asciiTheme="minorEastAsia" w:hAnsiTheme="minorEastAsia"/>
          <w:b/>
          <w:sz w:val="32"/>
          <w:szCs w:val="32"/>
        </w:rPr>
        <w:t>总体绩效目标</w:t>
      </w:r>
    </w:p>
    <w:p w:rsidR="00E57B26" w:rsidRPr="007E2151" w:rsidRDefault="00E57B26" w:rsidP="00E57B26">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河北省唐山市人民检察院主要通过加强执法规范化标准化建设，使执法规程更加明确，执法标准细化到每个执法环节、执法岗位，坚持司法公正，实行司法公开，设置45个内设机构（市院24个，冀东院16个，高新院5个），核定河北省唐山市人民检察院机关政法专项编制261名（市院180名（含海港院11名），冀东院62名，高新院19名）。2022年工作目标：</w:t>
      </w:r>
      <w:r w:rsidRPr="007E2151">
        <w:rPr>
          <w:rFonts w:asciiTheme="minorEastAsia" w:hAnsiTheme="minorEastAsia"/>
          <w:sz w:val="32"/>
          <w:szCs w:val="32"/>
        </w:rPr>
        <w:t xml:space="preserve"> </w:t>
      </w:r>
      <w:r w:rsidRPr="007E2151">
        <w:rPr>
          <w:rFonts w:asciiTheme="minorEastAsia" w:hAnsiTheme="minorEastAsia" w:hint="eastAsia"/>
          <w:sz w:val="32"/>
          <w:szCs w:val="32"/>
        </w:rPr>
        <w:t>2022</w:t>
      </w:r>
      <w:r w:rsidRPr="007E2151">
        <w:rPr>
          <w:rFonts w:asciiTheme="minorEastAsia" w:hAnsiTheme="minorEastAsia"/>
          <w:sz w:val="32"/>
          <w:szCs w:val="32"/>
        </w:rPr>
        <w:t>年，党带领我们踏上了实现第二个百年奋斗目标新的赶考之路，全市检察机关将坚持以习近平新时代中国特色社会主义思想为指导，深入贯彻习近平法治思想，坚定拥护“两个确立”，围绕市委“争第一，创唯一”目标，全力以赴、担当作为，立足本职、抓好办案、强化素能、提高水平，努力在唐山经济社会高质量发展新征程中贡献检察力量。</w:t>
      </w:r>
      <w:r w:rsidRPr="007E2151">
        <w:rPr>
          <w:rFonts w:asciiTheme="minorEastAsia" w:hAnsiTheme="minorEastAsia" w:hint="eastAsia"/>
          <w:sz w:val="32"/>
          <w:szCs w:val="32"/>
        </w:rPr>
        <w:t>一</w:t>
      </w:r>
      <w:r w:rsidRPr="007E2151">
        <w:rPr>
          <w:rFonts w:asciiTheme="minorEastAsia" w:hAnsiTheme="minorEastAsia"/>
          <w:sz w:val="32"/>
          <w:szCs w:val="32"/>
        </w:rPr>
        <w:t>是凝心聚力强党性，政治建设有新加强。二是凝心聚力护发展，服务大局有新举措。三是凝心聚力保民生，为民司法有新作为。四是凝心聚力强履职，法律监督有新担当。五是凝心聚力练本领，队伍建设有新发展。全市检察机关将紧紧依靠市委和省院的坚强领导，立足新起点，开启新征程，开创新局面，创造新业绩，以优异成绩迎接党的二十大胜利召开！</w:t>
      </w:r>
    </w:p>
    <w:p w:rsidR="00E57B26" w:rsidRPr="007E2151" w:rsidRDefault="00E57B26" w:rsidP="003F157E">
      <w:pPr>
        <w:pStyle w:val="a8"/>
        <w:numPr>
          <w:ilvl w:val="0"/>
          <w:numId w:val="1"/>
        </w:numPr>
        <w:spacing w:beforeLines="50" w:before="156" w:afterLines="50" w:after="156" w:line="580" w:lineRule="exact"/>
        <w:ind w:firstLineChars="0"/>
        <w:rPr>
          <w:rFonts w:asciiTheme="minorEastAsia" w:hAnsiTheme="minorEastAsia"/>
          <w:sz w:val="32"/>
          <w:szCs w:val="32"/>
        </w:rPr>
      </w:pPr>
      <w:r w:rsidRPr="007E2151">
        <w:rPr>
          <w:rFonts w:asciiTheme="minorEastAsia" w:hAnsiTheme="minorEastAsia"/>
          <w:sz w:val="32"/>
          <w:szCs w:val="32"/>
        </w:rPr>
        <w:lastRenderedPageBreak/>
        <w:t>分项绩效目标</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（一）做好检察监督工作</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目标：对侦查机关的侦查活动、人民法院的审判活动、监狱看守所等机关执行刑罚的活动，依法实行法律监督，维护司法公正。通过刑事检察权，惩罚犯罪活动，保护国家安全，保护公民、法人和其他组织的合法权益。</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绩效指标：完成抗诉率≥1.54%</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完成公诉率≥91.1%</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完成错误批捕率≤1.8%</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（二）做好控告和刑事申诉检察工作</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目标：保护公民、法人和其他单位的合法权益，促进司法公正，维护社会稳定。构建依法有序信访秩序，及时依法解决群众诉求；加强和改进举报工作，保护申诉人合法权益，保护被赔偿人和被救助人合法权益。</w:t>
      </w:r>
    </w:p>
    <w:p w:rsidR="00E57B26" w:rsidRPr="007E2151" w:rsidRDefault="00E57B26" w:rsidP="00E57B26">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绩效指标：涉检信访案件办结率100%；</w:t>
      </w:r>
    </w:p>
    <w:p w:rsidR="00E57B26" w:rsidRPr="007E2151" w:rsidRDefault="00E57B26" w:rsidP="00E57B26">
      <w:pPr>
        <w:spacing w:line="360" w:lineRule="auto"/>
        <w:rPr>
          <w:rFonts w:asciiTheme="minorEastAsia" w:hAnsiTheme="minorEastAsia"/>
          <w:sz w:val="32"/>
          <w:szCs w:val="32"/>
        </w:rPr>
      </w:pPr>
      <w:r w:rsidRPr="007E2151">
        <w:rPr>
          <w:rFonts w:asciiTheme="minorEastAsia" w:hAnsiTheme="minorEastAsia" w:hint="eastAsia"/>
          <w:sz w:val="32"/>
          <w:szCs w:val="32"/>
        </w:rPr>
        <w:t xml:space="preserve">              举报、信访处理结果满意率96%；</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国家赔偿案件办结率100%；</w:t>
      </w:r>
    </w:p>
    <w:p w:rsidR="00E57B26" w:rsidRPr="007E2151" w:rsidRDefault="00E57B26" w:rsidP="00E57B26">
      <w:pPr>
        <w:spacing w:line="360" w:lineRule="auto"/>
        <w:ind w:firstLineChars="700" w:firstLine="2240"/>
        <w:rPr>
          <w:rFonts w:asciiTheme="minorEastAsia" w:hAnsiTheme="minorEastAsia"/>
          <w:sz w:val="32"/>
          <w:szCs w:val="32"/>
        </w:rPr>
      </w:pPr>
      <w:r w:rsidRPr="007E2151">
        <w:rPr>
          <w:rFonts w:asciiTheme="minorEastAsia" w:hAnsiTheme="minorEastAsia" w:hint="eastAsia"/>
          <w:sz w:val="32"/>
          <w:szCs w:val="32"/>
        </w:rPr>
        <w:t>息诉罢访率97%；</w:t>
      </w:r>
    </w:p>
    <w:p w:rsidR="00E57B26" w:rsidRPr="007E2151" w:rsidRDefault="00E57B26" w:rsidP="00E57B26">
      <w:pPr>
        <w:spacing w:line="360" w:lineRule="auto"/>
        <w:ind w:firstLineChars="50" w:firstLine="160"/>
        <w:rPr>
          <w:rFonts w:asciiTheme="minorEastAsia" w:hAnsiTheme="minorEastAsia"/>
          <w:sz w:val="32"/>
          <w:szCs w:val="32"/>
        </w:rPr>
      </w:pPr>
      <w:r w:rsidRPr="007E2151">
        <w:rPr>
          <w:rFonts w:asciiTheme="minorEastAsia" w:hAnsiTheme="minorEastAsia" w:hint="eastAsia"/>
          <w:sz w:val="32"/>
          <w:szCs w:val="32"/>
        </w:rPr>
        <w:t xml:space="preserve">    (三)做好检察事务管理工作</w:t>
      </w:r>
    </w:p>
    <w:p w:rsidR="00E57B26" w:rsidRPr="007E2151" w:rsidRDefault="00E57B26" w:rsidP="00E57B26">
      <w:pPr>
        <w:spacing w:line="360" w:lineRule="auto"/>
        <w:ind w:firstLineChars="50" w:firstLine="160"/>
        <w:rPr>
          <w:rFonts w:asciiTheme="minorEastAsia" w:hAnsiTheme="minorEastAsia"/>
          <w:sz w:val="32"/>
          <w:szCs w:val="32"/>
        </w:rPr>
      </w:pPr>
      <w:r w:rsidRPr="007E2151">
        <w:rPr>
          <w:rFonts w:asciiTheme="minorEastAsia" w:hAnsiTheme="minorEastAsia" w:hint="eastAsia"/>
          <w:sz w:val="32"/>
          <w:szCs w:val="32"/>
        </w:rPr>
        <w:t xml:space="preserve">    绩效目标：承担系统综合业务管理和综合事务管理工作，确保全年各项检察工作圆满完成；提高执法水平和办案质量、提升检察机关法律监督能力；为检察工作顺利开展提</w:t>
      </w:r>
      <w:r w:rsidRPr="007E2151">
        <w:rPr>
          <w:rFonts w:asciiTheme="minorEastAsia" w:hAnsiTheme="minorEastAsia" w:hint="eastAsia"/>
          <w:sz w:val="32"/>
          <w:szCs w:val="32"/>
        </w:rPr>
        <w:lastRenderedPageBreak/>
        <w:t>供检务保障。</w:t>
      </w:r>
    </w:p>
    <w:p w:rsidR="00E57B26" w:rsidRPr="007E2151" w:rsidRDefault="00E57B26" w:rsidP="00E2769A">
      <w:pPr>
        <w:spacing w:line="360" w:lineRule="auto"/>
        <w:ind w:firstLineChars="200" w:firstLine="640"/>
        <w:rPr>
          <w:rFonts w:asciiTheme="minorEastAsia" w:hAnsiTheme="minorEastAsia"/>
          <w:sz w:val="32"/>
          <w:szCs w:val="32"/>
        </w:rPr>
      </w:pPr>
      <w:r w:rsidRPr="007E2151">
        <w:rPr>
          <w:rFonts w:asciiTheme="minorEastAsia" w:hAnsiTheme="minorEastAsia" w:hint="eastAsia"/>
          <w:sz w:val="32"/>
          <w:szCs w:val="32"/>
        </w:rPr>
        <w:t>绩效指标：</w:t>
      </w:r>
      <w:r w:rsidR="00E2769A">
        <w:rPr>
          <w:rFonts w:asciiTheme="minorEastAsia" w:hAnsiTheme="minorEastAsia" w:hint="eastAsia"/>
          <w:sz w:val="32"/>
          <w:szCs w:val="32"/>
        </w:rPr>
        <w:t>检务保障干警满意度90%以上。</w:t>
      </w:r>
    </w:p>
    <w:p w:rsidR="00E57B26" w:rsidRPr="007E2151" w:rsidRDefault="00E57B26" w:rsidP="003F157E">
      <w:pPr>
        <w:spacing w:beforeLines="50" w:before="156" w:afterLines="50" w:after="156" w:line="580" w:lineRule="exact"/>
        <w:ind w:firstLineChars="200" w:firstLine="640"/>
        <w:rPr>
          <w:rFonts w:asciiTheme="minorEastAsia" w:hAnsiTheme="minorEastAsia"/>
          <w:sz w:val="32"/>
          <w:szCs w:val="32"/>
        </w:rPr>
      </w:pPr>
      <w:r w:rsidRPr="007E2151">
        <w:rPr>
          <w:rFonts w:asciiTheme="minorEastAsia" w:hAnsiTheme="minorEastAsia"/>
          <w:sz w:val="32"/>
          <w:szCs w:val="32"/>
        </w:rPr>
        <w:t>三、工作保障措施</w:t>
      </w:r>
    </w:p>
    <w:p w:rsidR="003966C4" w:rsidRPr="007E2151" w:rsidRDefault="00822A81"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（一）</w:t>
      </w:r>
      <w:r w:rsidR="003966C4" w:rsidRPr="007E2151">
        <w:rPr>
          <w:rFonts w:asciiTheme="minorEastAsia" w:hAnsiTheme="minorEastAsia" w:hint="eastAsia"/>
          <w:sz w:val="32"/>
          <w:szCs w:val="32"/>
        </w:rPr>
        <w:t>贯彻落实中共中央有关经费保障的政策措施。近年来，中央陆续下发了《中共中央转发〈中央政法委员会关于深化司法体制和工作机制改革若干问题的意见〉的通知》、《中共中央办公厅、国务院办公厅〈关于加强政法经费保障工作的意见〉的通知》、《国家发展</w:t>
      </w:r>
      <w:r w:rsidR="00A4405D">
        <w:rPr>
          <w:rFonts w:asciiTheme="minorEastAsia" w:hAnsiTheme="minorEastAsia" w:hint="eastAsia"/>
          <w:sz w:val="32"/>
          <w:szCs w:val="32"/>
        </w:rPr>
        <w:t>和</w:t>
      </w:r>
      <w:bookmarkStart w:id="0" w:name="_GoBack"/>
      <w:bookmarkEnd w:id="0"/>
      <w:r w:rsidR="003966C4" w:rsidRPr="007E2151">
        <w:rPr>
          <w:rFonts w:asciiTheme="minorEastAsia" w:hAnsiTheme="minorEastAsia" w:hint="eastAsia"/>
          <w:sz w:val="32"/>
          <w:szCs w:val="32"/>
        </w:rPr>
        <w:t>改革委员会关于进一步加强地方政法基础设施建设规范投资保障机制的意见》、《十二五时期检察计财装备发展规划》等一系列文件，专门就完善检务保障工作提出了一系列政策措施，为检察机关进一步建立和完善经费保障机制，更好地争取地方财政支持提供了有利条件。同时，唐山检察机关2022年将</w:t>
      </w:r>
      <w:r w:rsidR="003966C4" w:rsidRPr="007E2151">
        <w:rPr>
          <w:rFonts w:asciiTheme="minorEastAsia" w:hAnsiTheme="minorEastAsia"/>
          <w:sz w:val="32"/>
          <w:szCs w:val="32"/>
        </w:rPr>
        <w:t>制定完善预算绩效管理制度、资金管理办法、工作保障制度等，为全年预算绩效目标的实现奠定制度基础。</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（二）</w:t>
      </w:r>
      <w:r w:rsidRPr="007E2151">
        <w:rPr>
          <w:rFonts w:asciiTheme="minorEastAsia" w:hAnsiTheme="minorEastAsia"/>
          <w:sz w:val="32"/>
          <w:szCs w:val="32"/>
        </w:rPr>
        <w:t>加强支出管理。通过优化支出结构、编细编实预算、加快履行政府采购手续、尽快启动项目、及时支付资金、按规定及时下达资金等多种措施，确保支出进度达标。</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（三）</w:t>
      </w:r>
      <w:r w:rsidRPr="007E2151">
        <w:rPr>
          <w:rFonts w:asciiTheme="minorEastAsia" w:hAnsiTheme="minorEastAsia"/>
          <w:sz w:val="32"/>
          <w:szCs w:val="32"/>
        </w:rPr>
        <w:t>加强绩效运行监控。按要求开展绩效运行监控，发现问题及时采取措施，确保绩效目标如期保质实现。</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（四）</w:t>
      </w:r>
      <w:r w:rsidRPr="007E2151">
        <w:rPr>
          <w:rFonts w:asciiTheme="minorEastAsia" w:hAnsiTheme="minorEastAsia"/>
          <w:sz w:val="32"/>
          <w:szCs w:val="32"/>
        </w:rPr>
        <w:t>做好绩效自评。按要求开展上年度部门预算绩效自评和重点评价工作，对评价中发现的问题及时整改，调整优化支出结构，提高财政资金使用效益。</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lastRenderedPageBreak/>
        <w:t>（五）</w:t>
      </w:r>
      <w:r w:rsidRPr="007E2151">
        <w:rPr>
          <w:rFonts w:asciiTheme="minorEastAsia" w:hAnsiTheme="minorEastAsia"/>
          <w:sz w:val="32"/>
          <w:szCs w:val="32"/>
        </w:rPr>
        <w:t>规范财务资产管理。完善财务管理制度，严格审批程序，加强固定资产登记、使用和报废处置管理，做到支出合理，物尽其用。</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（六）</w:t>
      </w:r>
      <w:r w:rsidRPr="007E2151">
        <w:rPr>
          <w:rFonts w:asciiTheme="minorEastAsia" w:hAnsiTheme="minorEastAsia"/>
          <w:sz w:val="32"/>
          <w:szCs w:val="32"/>
        </w:rPr>
        <w:t>加强内部监督。加强内部监督制度建设，对绩效运行情况、重大支出决策、对外投资、资产处置及其他重要经济业务事项的决策和执行进行督导，对会计资料进行内部审计，并配合做好审计、财政监督等外部监督工作，确保财政资金安全有效。</w:t>
      </w:r>
    </w:p>
    <w:p w:rsidR="003966C4" w:rsidRPr="007E2151" w:rsidRDefault="003966C4" w:rsidP="003966C4">
      <w:pPr>
        <w:spacing w:line="580" w:lineRule="exact"/>
        <w:ind w:firstLine="630"/>
        <w:rPr>
          <w:rFonts w:asciiTheme="minorEastAsia" w:hAnsiTheme="minorEastAsia"/>
          <w:sz w:val="32"/>
          <w:szCs w:val="32"/>
        </w:rPr>
      </w:pPr>
      <w:r w:rsidRPr="007E2151">
        <w:rPr>
          <w:rFonts w:asciiTheme="minorEastAsia" w:hAnsiTheme="minorEastAsia" w:hint="eastAsia"/>
          <w:sz w:val="32"/>
          <w:szCs w:val="32"/>
        </w:rPr>
        <w:t>（七）</w:t>
      </w:r>
      <w:r w:rsidRPr="007E2151">
        <w:rPr>
          <w:rFonts w:asciiTheme="minorEastAsia" w:hAnsiTheme="minorEastAsia"/>
          <w:sz w:val="32"/>
          <w:szCs w:val="32"/>
        </w:rPr>
        <w:t>加强宣传培训调研等。加强人员培训，提高本部门职工业务</w:t>
      </w:r>
      <w:r w:rsidR="00822A81" w:rsidRPr="007E2151">
        <w:rPr>
          <w:rFonts w:asciiTheme="minorEastAsia" w:hAnsiTheme="minorEastAsia"/>
          <w:sz w:val="32"/>
          <w:szCs w:val="32"/>
        </w:rPr>
        <w:t>素质；加强调研，提出优化财政资金配置、提高资金使用效益的意见</w:t>
      </w:r>
      <w:r w:rsidRPr="007E2151">
        <w:rPr>
          <w:rFonts w:asciiTheme="minorEastAsia" w:hAnsiTheme="minorEastAsia"/>
          <w:sz w:val="32"/>
          <w:szCs w:val="32"/>
        </w:rPr>
        <w:t>；加大宣传力度，强化预算绩效管理意识，促进预算绩效管理水平进一步提升。</w:t>
      </w:r>
    </w:p>
    <w:p w:rsidR="001B285D" w:rsidRPr="007E2151" w:rsidRDefault="001B285D" w:rsidP="003966C4">
      <w:pPr>
        <w:spacing w:line="580" w:lineRule="exact"/>
        <w:jc w:val="center"/>
        <w:rPr>
          <w:rFonts w:asciiTheme="minorEastAsia" w:hAnsiTheme="minorEastAsia"/>
          <w:sz w:val="32"/>
          <w:szCs w:val="32"/>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822A81" w:rsidRPr="007E2151" w:rsidRDefault="00822A81"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1B285D" w:rsidRPr="007E2151" w:rsidRDefault="001B285D" w:rsidP="003966C4">
      <w:pPr>
        <w:spacing w:line="580" w:lineRule="exact"/>
        <w:jc w:val="center"/>
        <w:rPr>
          <w:rFonts w:asciiTheme="minorEastAsia" w:hAnsiTheme="minorEastAsia"/>
          <w:sz w:val="44"/>
          <w:szCs w:val="44"/>
        </w:rPr>
      </w:pPr>
    </w:p>
    <w:p w:rsidR="007565EC" w:rsidRPr="007E2151" w:rsidRDefault="007565EC" w:rsidP="007E2151">
      <w:pPr>
        <w:jc w:val="center"/>
        <w:rPr>
          <w:rFonts w:asciiTheme="minorEastAsia" w:hAnsiTheme="minorEastAsia"/>
          <w:sz w:val="44"/>
          <w:szCs w:val="44"/>
        </w:rPr>
      </w:pPr>
    </w:p>
    <w:p w:rsidR="00D3615A" w:rsidRDefault="00D3615A" w:rsidP="007E2151">
      <w:pPr>
        <w:jc w:val="center"/>
        <w:rPr>
          <w:rFonts w:asciiTheme="minorEastAsia" w:hAnsiTheme="minorEastAsia"/>
          <w:b/>
          <w:sz w:val="44"/>
          <w:szCs w:val="44"/>
        </w:rPr>
      </w:pPr>
    </w:p>
    <w:p w:rsidR="003966C4" w:rsidRPr="007E2151" w:rsidRDefault="003966C4" w:rsidP="007E2151">
      <w:pPr>
        <w:jc w:val="center"/>
        <w:rPr>
          <w:rFonts w:asciiTheme="minorEastAsia" w:hAnsiTheme="minorEastAsia"/>
          <w:b/>
          <w:sz w:val="44"/>
          <w:szCs w:val="44"/>
        </w:rPr>
      </w:pPr>
      <w:r w:rsidRPr="007E2151">
        <w:rPr>
          <w:rFonts w:asciiTheme="minorEastAsia" w:hAnsiTheme="minorEastAsia"/>
          <w:b/>
          <w:sz w:val="44"/>
          <w:szCs w:val="44"/>
        </w:rPr>
        <w:t>第</w:t>
      </w:r>
      <w:r w:rsidRPr="007E2151">
        <w:rPr>
          <w:rFonts w:asciiTheme="minorEastAsia" w:hAnsiTheme="minorEastAsia" w:hint="eastAsia"/>
          <w:b/>
          <w:sz w:val="44"/>
          <w:szCs w:val="44"/>
        </w:rPr>
        <w:t>二</w:t>
      </w:r>
      <w:r w:rsidRPr="007E2151">
        <w:rPr>
          <w:rFonts w:asciiTheme="minorEastAsia" w:hAnsiTheme="minorEastAsia"/>
          <w:b/>
          <w:sz w:val="44"/>
          <w:szCs w:val="44"/>
        </w:rPr>
        <w:t>部分</w:t>
      </w:r>
    </w:p>
    <w:p w:rsidR="003966C4" w:rsidRPr="007E2151" w:rsidRDefault="003966C4" w:rsidP="007E2151">
      <w:pPr>
        <w:jc w:val="center"/>
        <w:rPr>
          <w:rFonts w:asciiTheme="minorEastAsia" w:hAnsiTheme="minorEastAsia"/>
          <w:b/>
          <w:sz w:val="44"/>
          <w:szCs w:val="44"/>
        </w:rPr>
      </w:pPr>
      <w:r w:rsidRPr="007E2151">
        <w:rPr>
          <w:rFonts w:asciiTheme="minorEastAsia" w:hAnsiTheme="minorEastAsia"/>
          <w:b/>
          <w:sz w:val="44"/>
          <w:szCs w:val="44"/>
        </w:rPr>
        <w:t>预算项目绩效目标</w:t>
      </w:r>
    </w:p>
    <w:p w:rsidR="001B285D" w:rsidRPr="007E2151" w:rsidRDefault="001B285D" w:rsidP="007E2151">
      <w:pPr>
        <w:rPr>
          <w:rFonts w:asciiTheme="minorEastAsia" w:hAnsiTheme="minorEastAsia"/>
          <w:sz w:val="32"/>
          <w:szCs w:val="32"/>
        </w:rPr>
      </w:pPr>
    </w:p>
    <w:sectPr w:rsidR="001B285D" w:rsidRPr="007E2151" w:rsidSect="003A4663">
      <w:footerReference w:type="default" r:id="rId8"/>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7D5" w:rsidRDefault="008C57D5" w:rsidP="003A4663">
      <w:r>
        <w:separator/>
      </w:r>
    </w:p>
  </w:endnote>
  <w:endnote w:type="continuationSeparator" w:id="0">
    <w:p w:rsidR="008C57D5" w:rsidRDefault="008C57D5" w:rsidP="003A4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_GBK">
    <w:altName w:val="宋体"/>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altName w:val="Microsoft YaHei UI"/>
    <w:charset w:val="86"/>
    <w:family w:val="script"/>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663" w:rsidRDefault="003A4663" w:rsidP="003A4663">
    <w:pPr>
      <w:pStyle w:val="a6"/>
      <w:jc w:val="center"/>
    </w:pPr>
    <w:r>
      <w:rPr>
        <w:rFonts w:hint="eastAsia"/>
      </w:rPr>
      <w:t>第</w:t>
    </w:r>
    <w:r>
      <w:rPr>
        <w:rFonts w:hint="eastAsia"/>
      </w:rPr>
      <w:t xml:space="preserve"> </w:t>
    </w:r>
    <w:r w:rsidR="003F157E">
      <w:fldChar w:fldCharType="begin"/>
    </w:r>
    <w:r w:rsidR="003F157E">
      <w:instrText xml:space="preserve"> Page \* MERGEFORMAT </w:instrText>
    </w:r>
    <w:r w:rsidR="003F157E">
      <w:fldChar w:fldCharType="separate"/>
    </w:r>
    <w:r w:rsidR="00A4405D">
      <w:rPr>
        <w:noProof/>
      </w:rPr>
      <w:t>4</w:t>
    </w:r>
    <w:r w:rsidR="003F157E">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7D5" w:rsidRDefault="008C57D5" w:rsidP="003A4663">
      <w:r>
        <w:separator/>
      </w:r>
    </w:p>
  </w:footnote>
  <w:footnote w:type="continuationSeparator" w:id="0">
    <w:p w:rsidR="008C57D5" w:rsidRDefault="008C57D5" w:rsidP="003A466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FA00CE"/>
    <w:multiLevelType w:val="hybridMultilevel"/>
    <w:tmpl w:val="97ECB5AE"/>
    <w:lvl w:ilvl="0" w:tplc="0AC81C7E">
      <w:start w:val="1"/>
      <w:numFmt w:val="japaneseCounting"/>
      <w:lvlText w:val="%1、"/>
      <w:lvlJc w:val="left"/>
      <w:pPr>
        <w:ind w:left="1349" w:hanging="720"/>
      </w:pPr>
      <w:rPr>
        <w:rFonts w:hint="default"/>
      </w:rPr>
    </w:lvl>
    <w:lvl w:ilvl="1" w:tplc="04090019" w:tentative="1">
      <w:start w:val="1"/>
      <w:numFmt w:val="lowerLetter"/>
      <w:lvlText w:val="%2)"/>
      <w:lvlJc w:val="left"/>
      <w:pPr>
        <w:ind w:left="1469" w:hanging="420"/>
      </w:pPr>
    </w:lvl>
    <w:lvl w:ilvl="2" w:tplc="0409001B" w:tentative="1">
      <w:start w:val="1"/>
      <w:numFmt w:val="lowerRoman"/>
      <w:lvlText w:val="%3."/>
      <w:lvlJc w:val="right"/>
      <w:pPr>
        <w:ind w:left="1889" w:hanging="420"/>
      </w:pPr>
    </w:lvl>
    <w:lvl w:ilvl="3" w:tplc="0409000F" w:tentative="1">
      <w:start w:val="1"/>
      <w:numFmt w:val="decimal"/>
      <w:lvlText w:val="%4."/>
      <w:lvlJc w:val="left"/>
      <w:pPr>
        <w:ind w:left="2309" w:hanging="420"/>
      </w:pPr>
    </w:lvl>
    <w:lvl w:ilvl="4" w:tplc="04090019" w:tentative="1">
      <w:start w:val="1"/>
      <w:numFmt w:val="lowerLetter"/>
      <w:lvlText w:val="%5)"/>
      <w:lvlJc w:val="left"/>
      <w:pPr>
        <w:ind w:left="2729" w:hanging="420"/>
      </w:pPr>
    </w:lvl>
    <w:lvl w:ilvl="5" w:tplc="0409001B" w:tentative="1">
      <w:start w:val="1"/>
      <w:numFmt w:val="lowerRoman"/>
      <w:lvlText w:val="%6."/>
      <w:lvlJc w:val="right"/>
      <w:pPr>
        <w:ind w:left="3149" w:hanging="420"/>
      </w:pPr>
    </w:lvl>
    <w:lvl w:ilvl="6" w:tplc="0409000F" w:tentative="1">
      <w:start w:val="1"/>
      <w:numFmt w:val="decimal"/>
      <w:lvlText w:val="%7."/>
      <w:lvlJc w:val="left"/>
      <w:pPr>
        <w:ind w:left="3569" w:hanging="420"/>
      </w:pPr>
    </w:lvl>
    <w:lvl w:ilvl="7" w:tplc="04090019" w:tentative="1">
      <w:start w:val="1"/>
      <w:numFmt w:val="lowerLetter"/>
      <w:lvlText w:val="%8)"/>
      <w:lvlJc w:val="left"/>
      <w:pPr>
        <w:ind w:left="3989" w:hanging="420"/>
      </w:pPr>
    </w:lvl>
    <w:lvl w:ilvl="8" w:tplc="0409001B" w:tentative="1">
      <w:start w:val="1"/>
      <w:numFmt w:val="lowerRoman"/>
      <w:lvlText w:val="%9."/>
      <w:lvlJc w:val="right"/>
      <w:pPr>
        <w:ind w:left="4409"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A4663"/>
    <w:rsid w:val="0001556F"/>
    <w:rsid w:val="00152578"/>
    <w:rsid w:val="001935DF"/>
    <w:rsid w:val="001B285D"/>
    <w:rsid w:val="002218BF"/>
    <w:rsid w:val="00240BFF"/>
    <w:rsid w:val="00252E43"/>
    <w:rsid w:val="00337AD3"/>
    <w:rsid w:val="003966C4"/>
    <w:rsid w:val="003A4663"/>
    <w:rsid w:val="003F157E"/>
    <w:rsid w:val="00437A59"/>
    <w:rsid w:val="0054390B"/>
    <w:rsid w:val="00593F05"/>
    <w:rsid w:val="005B7A43"/>
    <w:rsid w:val="005F0A07"/>
    <w:rsid w:val="006E170D"/>
    <w:rsid w:val="00714180"/>
    <w:rsid w:val="007565EC"/>
    <w:rsid w:val="00771BDD"/>
    <w:rsid w:val="007E2151"/>
    <w:rsid w:val="00822A81"/>
    <w:rsid w:val="008C57D5"/>
    <w:rsid w:val="00A35EEE"/>
    <w:rsid w:val="00A4405D"/>
    <w:rsid w:val="00B41C06"/>
    <w:rsid w:val="00C0600D"/>
    <w:rsid w:val="00CB059D"/>
    <w:rsid w:val="00CD5646"/>
    <w:rsid w:val="00D3615A"/>
    <w:rsid w:val="00E2769A"/>
    <w:rsid w:val="00E57B26"/>
    <w:rsid w:val="00E907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E4EDBA7-D11C-43C9-A982-6763870E1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37AD3"/>
    <w:pPr>
      <w:widowControl w:val="0"/>
      <w:jc w:val="both"/>
    </w:pPr>
  </w:style>
  <w:style w:type="paragraph" w:styleId="1">
    <w:name w:val="heading 1"/>
    <w:basedOn w:val="a"/>
    <w:next w:val="a"/>
    <w:link w:val="10"/>
    <w:uiPriority w:val="9"/>
    <w:qFormat/>
    <w:rsid w:val="003A4663"/>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4663"/>
    <w:rPr>
      <w:b/>
      <w:bCs/>
      <w:kern w:val="44"/>
      <w:sz w:val="44"/>
      <w:szCs w:val="44"/>
    </w:rPr>
  </w:style>
  <w:style w:type="paragraph" w:styleId="11">
    <w:name w:val="toc 1"/>
    <w:basedOn w:val="a"/>
    <w:next w:val="a"/>
    <w:autoRedefine/>
    <w:uiPriority w:val="39"/>
    <w:unhideWhenUsed/>
    <w:rsid w:val="003A4663"/>
  </w:style>
  <w:style w:type="character" w:styleId="a3">
    <w:name w:val="Hyperlink"/>
    <w:basedOn w:val="a0"/>
    <w:uiPriority w:val="99"/>
    <w:unhideWhenUsed/>
    <w:rsid w:val="003A4663"/>
    <w:rPr>
      <w:color w:val="0000FF" w:themeColor="hyperlink"/>
      <w:u w:val="single"/>
    </w:rPr>
  </w:style>
  <w:style w:type="paragraph" w:styleId="a4">
    <w:name w:val="header"/>
    <w:basedOn w:val="a"/>
    <w:link w:val="a5"/>
    <w:uiPriority w:val="99"/>
    <w:unhideWhenUsed/>
    <w:rsid w:val="003A466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3A4663"/>
    <w:rPr>
      <w:sz w:val="18"/>
      <w:szCs w:val="18"/>
    </w:rPr>
  </w:style>
  <w:style w:type="paragraph" w:styleId="a6">
    <w:name w:val="footer"/>
    <w:basedOn w:val="a"/>
    <w:link w:val="a7"/>
    <w:uiPriority w:val="99"/>
    <w:unhideWhenUsed/>
    <w:rsid w:val="003A4663"/>
    <w:pPr>
      <w:tabs>
        <w:tab w:val="center" w:pos="4153"/>
        <w:tab w:val="right" w:pos="8306"/>
      </w:tabs>
      <w:snapToGrid w:val="0"/>
      <w:jc w:val="left"/>
    </w:pPr>
    <w:rPr>
      <w:sz w:val="18"/>
      <w:szCs w:val="18"/>
    </w:rPr>
  </w:style>
  <w:style w:type="character" w:customStyle="1" w:styleId="a7">
    <w:name w:val="页脚 字符"/>
    <w:basedOn w:val="a0"/>
    <w:link w:val="a6"/>
    <w:uiPriority w:val="99"/>
    <w:rsid w:val="003A4663"/>
    <w:rPr>
      <w:sz w:val="18"/>
      <w:szCs w:val="18"/>
    </w:rPr>
  </w:style>
  <w:style w:type="paragraph" w:styleId="a8">
    <w:name w:val="List Paragraph"/>
    <w:basedOn w:val="a"/>
    <w:uiPriority w:val="34"/>
    <w:qFormat/>
    <w:rsid w:val="00E57B2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E68CAED7-56A3-4A04-8D40-4234F55FDB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7</Pages>
  <Words>290</Words>
  <Characters>1655</Characters>
  <Application>Microsoft Office Word</Application>
  <DocSecurity>0</DocSecurity>
  <Lines>13</Lines>
  <Paragraphs>3</Paragraphs>
  <ScaleCrop>false</ScaleCrop>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China</cp:lastModifiedBy>
  <cp:revision>17</cp:revision>
  <cp:lastPrinted>2022-02-14T02:46:00Z</cp:lastPrinted>
  <dcterms:created xsi:type="dcterms:W3CDTF">2021-12-30T02:00:00Z</dcterms:created>
  <dcterms:modified xsi:type="dcterms:W3CDTF">2025-03-27T08:23:00Z</dcterms:modified>
</cp:coreProperties>
</file>