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56</w:t>
      </w:r>
      <w:r>
        <w:fldChar w:fldCharType="end"/>
      </w:r>
      <w:r>
        <w:fldChar w:fldCharType="end"/>
      </w:r>
    </w:p>
    <w:p>
      <w:pPr>
        <w:pStyle w:val="2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2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1414.29</w:t>
            </w:r>
          </w:p>
        </w:tc>
        <w:tc>
          <w:tcPr>
            <w:tcW w:w="4535" w:type="dxa"/>
            <w:vAlign w:val="center"/>
          </w:tcPr>
          <w:p>
            <w:pPr>
              <w:pStyle w:val="14"/>
            </w:pPr>
            <w:r>
              <w:t>一、一般公共服务支出</w:t>
            </w:r>
          </w:p>
        </w:tc>
        <w:tc>
          <w:tcPr>
            <w:tcW w:w="2126" w:type="dxa"/>
            <w:vAlign w:val="center"/>
          </w:tcPr>
          <w:p>
            <w:pPr>
              <w:pStyle w:val="13"/>
            </w:pPr>
            <w:r>
              <w:t>836.82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1414.29</w:t>
            </w:r>
          </w:p>
        </w:tc>
        <w:tc>
          <w:tcPr>
            <w:tcW w:w="4535" w:type="dxa"/>
            <w:vAlign w:val="center"/>
          </w:tcPr>
          <w:p>
            <w:pPr>
              <w:pStyle w:val="16"/>
            </w:pPr>
            <w:r>
              <w:t>本年支出合计</w:t>
            </w:r>
          </w:p>
        </w:tc>
        <w:tc>
          <w:tcPr>
            <w:tcW w:w="2126" w:type="dxa"/>
            <w:vAlign w:val="center"/>
          </w:tcPr>
          <w:p>
            <w:pPr>
              <w:pStyle w:val="17"/>
            </w:pPr>
            <w:r>
              <w:t>1414.29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1414.29</w:t>
            </w:r>
          </w:p>
        </w:tc>
        <w:tc>
          <w:tcPr>
            <w:tcW w:w="4535" w:type="dxa"/>
            <w:vAlign w:val="center"/>
          </w:tcPr>
          <w:p>
            <w:pPr>
              <w:pStyle w:val="16"/>
            </w:pPr>
            <w:r>
              <w:t>支出总计</w:t>
            </w:r>
          </w:p>
        </w:tc>
        <w:tc>
          <w:tcPr>
            <w:tcW w:w="2126" w:type="dxa"/>
            <w:vAlign w:val="center"/>
          </w:tcPr>
          <w:p>
            <w:pPr>
              <w:pStyle w:val="17"/>
            </w:pPr>
            <w:r>
              <w:t>1414.29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1414.29</w:t>
            </w:r>
          </w:p>
        </w:tc>
        <w:tc>
          <w:tcPr>
            <w:tcW w:w="1134" w:type="dxa"/>
            <w:vAlign w:val="center"/>
          </w:tcPr>
          <w:p>
            <w:pPr>
              <w:pStyle w:val="17"/>
            </w:pPr>
            <w:r>
              <w:t>1414.29</w:t>
            </w:r>
          </w:p>
        </w:tc>
        <w:tc>
          <w:tcPr>
            <w:tcW w:w="1134" w:type="dxa"/>
            <w:vAlign w:val="center"/>
          </w:tcPr>
          <w:p>
            <w:pPr>
              <w:pStyle w:val="17"/>
            </w:pPr>
            <w:r>
              <w:t>1414.29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836.82</w:t>
            </w:r>
          </w:p>
        </w:tc>
        <w:tc>
          <w:tcPr>
            <w:tcW w:w="1134" w:type="dxa"/>
            <w:vAlign w:val="center"/>
          </w:tcPr>
          <w:p>
            <w:pPr>
              <w:pStyle w:val="13"/>
            </w:pPr>
            <w:r>
              <w:t>836.82</w:t>
            </w:r>
          </w:p>
        </w:tc>
        <w:tc>
          <w:tcPr>
            <w:tcW w:w="1134" w:type="dxa"/>
            <w:vAlign w:val="center"/>
          </w:tcPr>
          <w:p>
            <w:pPr>
              <w:pStyle w:val="13"/>
            </w:pPr>
            <w:r>
              <w:t>836.82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836.82</w:t>
            </w:r>
          </w:p>
        </w:tc>
        <w:tc>
          <w:tcPr>
            <w:tcW w:w="1134" w:type="dxa"/>
            <w:vAlign w:val="center"/>
          </w:tcPr>
          <w:p>
            <w:pPr>
              <w:pStyle w:val="13"/>
            </w:pPr>
            <w:r>
              <w:t>836.82</w:t>
            </w:r>
          </w:p>
        </w:tc>
        <w:tc>
          <w:tcPr>
            <w:tcW w:w="1134" w:type="dxa"/>
            <w:vAlign w:val="center"/>
          </w:tcPr>
          <w:p>
            <w:pPr>
              <w:pStyle w:val="13"/>
            </w:pPr>
            <w:r>
              <w:t>836.82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335.56</w:t>
            </w:r>
          </w:p>
        </w:tc>
        <w:tc>
          <w:tcPr>
            <w:tcW w:w="1134" w:type="dxa"/>
            <w:vAlign w:val="center"/>
          </w:tcPr>
          <w:p>
            <w:pPr>
              <w:pStyle w:val="13"/>
            </w:pPr>
            <w:r>
              <w:t>335.56</w:t>
            </w:r>
          </w:p>
        </w:tc>
        <w:tc>
          <w:tcPr>
            <w:tcW w:w="1134" w:type="dxa"/>
            <w:vAlign w:val="center"/>
          </w:tcPr>
          <w:p>
            <w:pPr>
              <w:pStyle w:val="13"/>
            </w:pPr>
            <w:r>
              <w:t>335.56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2012950</w:t>
            </w:r>
          </w:p>
        </w:tc>
        <w:tc>
          <w:tcPr>
            <w:tcW w:w="1559" w:type="dxa"/>
            <w:vAlign w:val="center"/>
          </w:tcPr>
          <w:p>
            <w:pPr>
              <w:pStyle w:val="14"/>
            </w:pPr>
            <w:r>
              <w:t>事业运行</w:t>
            </w:r>
          </w:p>
        </w:tc>
        <w:tc>
          <w:tcPr>
            <w:tcW w:w="1134" w:type="dxa"/>
            <w:vAlign w:val="center"/>
          </w:tcPr>
          <w:p>
            <w:pPr>
              <w:pStyle w:val="13"/>
            </w:pPr>
            <w:r>
              <w:t>451.44</w:t>
            </w:r>
          </w:p>
        </w:tc>
        <w:tc>
          <w:tcPr>
            <w:tcW w:w="1134" w:type="dxa"/>
            <w:vAlign w:val="center"/>
          </w:tcPr>
          <w:p>
            <w:pPr>
              <w:pStyle w:val="13"/>
            </w:pPr>
            <w:r>
              <w:t>451.44</w:t>
            </w:r>
          </w:p>
        </w:tc>
        <w:tc>
          <w:tcPr>
            <w:tcW w:w="1134" w:type="dxa"/>
            <w:vAlign w:val="center"/>
          </w:tcPr>
          <w:p>
            <w:pPr>
              <w:pStyle w:val="13"/>
            </w:pPr>
            <w:r>
              <w:t>451.44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49.82</w:t>
            </w:r>
          </w:p>
        </w:tc>
        <w:tc>
          <w:tcPr>
            <w:tcW w:w="1134" w:type="dxa"/>
            <w:vAlign w:val="center"/>
          </w:tcPr>
          <w:p>
            <w:pPr>
              <w:pStyle w:val="13"/>
            </w:pPr>
            <w:r>
              <w:t>49.82</w:t>
            </w:r>
          </w:p>
        </w:tc>
        <w:tc>
          <w:tcPr>
            <w:tcW w:w="1134" w:type="dxa"/>
            <w:vAlign w:val="center"/>
          </w:tcPr>
          <w:p>
            <w:pPr>
              <w:pStyle w:val="13"/>
            </w:pPr>
            <w:r>
              <w:t>49.82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r>
              <w:t>16.19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r>
              <w:t>360.00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r>
              <w:t>77.27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59.93</w:t>
            </w:r>
          </w:p>
        </w:tc>
        <w:tc>
          <w:tcPr>
            <w:tcW w:w="1134" w:type="dxa"/>
            <w:vAlign w:val="center"/>
          </w:tcPr>
          <w:p>
            <w:pPr>
              <w:pStyle w:val="13"/>
            </w:pPr>
            <w:r>
              <w:t>59.93</w:t>
            </w:r>
          </w:p>
        </w:tc>
        <w:tc>
          <w:tcPr>
            <w:tcW w:w="1134" w:type="dxa"/>
            <w:vAlign w:val="center"/>
          </w:tcPr>
          <w:p>
            <w:pPr>
              <w:pStyle w:val="13"/>
            </w:pPr>
            <w:r>
              <w:t>59.93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59.93</w:t>
            </w:r>
          </w:p>
        </w:tc>
        <w:tc>
          <w:tcPr>
            <w:tcW w:w="1134" w:type="dxa"/>
            <w:vAlign w:val="center"/>
          </w:tcPr>
          <w:p>
            <w:pPr>
              <w:pStyle w:val="13"/>
            </w:pPr>
            <w:r>
              <w:t>59.93</w:t>
            </w:r>
          </w:p>
        </w:tc>
        <w:tc>
          <w:tcPr>
            <w:tcW w:w="1134" w:type="dxa"/>
            <w:vAlign w:val="center"/>
          </w:tcPr>
          <w:p>
            <w:pPr>
              <w:pStyle w:val="13"/>
            </w:pPr>
            <w:r>
              <w:t>59.93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r>
              <w:t>12.13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16.36</w:t>
            </w:r>
          </w:p>
        </w:tc>
        <w:tc>
          <w:tcPr>
            <w:tcW w:w="1134" w:type="dxa"/>
            <w:vAlign w:val="center"/>
          </w:tcPr>
          <w:p>
            <w:pPr>
              <w:pStyle w:val="13"/>
            </w:pPr>
            <w:r>
              <w:t>16.36</w:t>
            </w:r>
          </w:p>
        </w:tc>
        <w:tc>
          <w:tcPr>
            <w:tcW w:w="1134" w:type="dxa"/>
            <w:vAlign w:val="center"/>
          </w:tcPr>
          <w:p>
            <w:pPr>
              <w:pStyle w:val="13"/>
            </w:pPr>
            <w:r>
              <w:t>16.36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31.44</w:t>
            </w:r>
          </w:p>
        </w:tc>
        <w:tc>
          <w:tcPr>
            <w:tcW w:w="1134" w:type="dxa"/>
            <w:vAlign w:val="center"/>
          </w:tcPr>
          <w:p>
            <w:pPr>
              <w:pStyle w:val="13"/>
            </w:pPr>
            <w:r>
              <w:t>31.44</w:t>
            </w:r>
          </w:p>
        </w:tc>
        <w:tc>
          <w:tcPr>
            <w:tcW w:w="1134" w:type="dxa"/>
            <w:vAlign w:val="center"/>
          </w:tcPr>
          <w:p>
            <w:pPr>
              <w:pStyle w:val="13"/>
            </w:pPr>
            <w:r>
              <w:t>31.44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r>
              <w:t>64.08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1414.29</w:t>
            </w:r>
          </w:p>
        </w:tc>
        <w:tc>
          <w:tcPr>
            <w:tcW w:w="1361" w:type="dxa"/>
            <w:vAlign w:val="center"/>
          </w:tcPr>
          <w:p>
            <w:pPr>
              <w:pStyle w:val="17"/>
            </w:pPr>
            <w:r>
              <w:t>896.58</w:t>
            </w:r>
          </w:p>
        </w:tc>
        <w:tc>
          <w:tcPr>
            <w:tcW w:w="1361" w:type="dxa"/>
            <w:vAlign w:val="center"/>
          </w:tcPr>
          <w:p>
            <w:pPr>
              <w:pStyle w:val="17"/>
            </w:pPr>
            <w:r>
              <w:t>517.71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836.82</w:t>
            </w:r>
          </w:p>
        </w:tc>
        <w:tc>
          <w:tcPr>
            <w:tcW w:w="1361" w:type="dxa"/>
            <w:vAlign w:val="center"/>
          </w:tcPr>
          <w:p>
            <w:pPr>
              <w:pStyle w:val="13"/>
            </w:pPr>
            <w:r>
              <w:t>691.84</w:t>
            </w:r>
          </w:p>
        </w:tc>
        <w:tc>
          <w:tcPr>
            <w:tcW w:w="1361" w:type="dxa"/>
            <w:vAlign w:val="center"/>
          </w:tcPr>
          <w:p>
            <w:pPr>
              <w:pStyle w:val="13"/>
            </w:pPr>
            <w:r>
              <w:t>144.98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836.82</w:t>
            </w:r>
          </w:p>
        </w:tc>
        <w:tc>
          <w:tcPr>
            <w:tcW w:w="1361" w:type="dxa"/>
            <w:vAlign w:val="center"/>
          </w:tcPr>
          <w:p>
            <w:pPr>
              <w:pStyle w:val="13"/>
            </w:pPr>
            <w:r>
              <w:t>691.84</w:t>
            </w:r>
          </w:p>
        </w:tc>
        <w:tc>
          <w:tcPr>
            <w:tcW w:w="1361" w:type="dxa"/>
            <w:vAlign w:val="center"/>
          </w:tcPr>
          <w:p>
            <w:pPr>
              <w:pStyle w:val="13"/>
            </w:pPr>
            <w:r>
              <w:t>144.98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335.56</w:t>
            </w:r>
          </w:p>
        </w:tc>
        <w:tc>
          <w:tcPr>
            <w:tcW w:w="1361" w:type="dxa"/>
            <w:vAlign w:val="center"/>
          </w:tcPr>
          <w:p>
            <w:pPr>
              <w:pStyle w:val="13"/>
            </w:pPr>
            <w:r>
              <w:t>273.90</w:t>
            </w:r>
          </w:p>
        </w:tc>
        <w:tc>
          <w:tcPr>
            <w:tcW w:w="1361" w:type="dxa"/>
            <w:vAlign w:val="center"/>
          </w:tcPr>
          <w:p>
            <w:pPr>
              <w:pStyle w:val="13"/>
            </w:pPr>
            <w:r>
              <w:t>61.66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2012950</w:t>
            </w:r>
          </w:p>
        </w:tc>
        <w:tc>
          <w:tcPr>
            <w:tcW w:w="4535" w:type="dxa"/>
            <w:vAlign w:val="center"/>
          </w:tcPr>
          <w:p>
            <w:pPr>
              <w:pStyle w:val="14"/>
            </w:pPr>
            <w:r>
              <w:t>事业运行</w:t>
            </w:r>
          </w:p>
        </w:tc>
        <w:tc>
          <w:tcPr>
            <w:tcW w:w="1361" w:type="dxa"/>
            <w:vAlign w:val="center"/>
          </w:tcPr>
          <w:p>
            <w:pPr>
              <w:pStyle w:val="13"/>
            </w:pPr>
            <w:r>
              <w:t>451.44</w:t>
            </w:r>
          </w:p>
        </w:tc>
        <w:tc>
          <w:tcPr>
            <w:tcW w:w="1361" w:type="dxa"/>
            <w:vAlign w:val="center"/>
          </w:tcPr>
          <w:p>
            <w:pPr>
              <w:pStyle w:val="13"/>
            </w:pPr>
            <w:r>
              <w:t>417.94</w:t>
            </w:r>
          </w:p>
        </w:tc>
        <w:tc>
          <w:tcPr>
            <w:tcW w:w="1361" w:type="dxa"/>
            <w:vAlign w:val="center"/>
          </w:tcPr>
          <w:p>
            <w:pPr>
              <w:pStyle w:val="13"/>
            </w:pPr>
            <w:r>
              <w:t>33.50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49.82</w:t>
            </w:r>
          </w:p>
        </w:tc>
        <w:tc>
          <w:tcPr>
            <w:tcW w:w="1361" w:type="dxa"/>
            <w:vAlign w:val="center"/>
          </w:tcPr>
          <w:p>
            <w:pPr>
              <w:pStyle w:val="13"/>
            </w:pPr>
          </w:p>
        </w:tc>
        <w:tc>
          <w:tcPr>
            <w:tcW w:w="1361" w:type="dxa"/>
            <w:vAlign w:val="center"/>
          </w:tcPr>
          <w:p>
            <w:pPr>
              <w:pStyle w:val="13"/>
            </w:pPr>
            <w:r>
              <w:t>49.82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16.19</w:t>
            </w:r>
          </w:p>
        </w:tc>
        <w:tc>
          <w:tcPr>
            <w:tcW w:w="1361" w:type="dxa"/>
            <w:vAlign w:val="center"/>
          </w:tcPr>
          <w:p>
            <w:pPr>
              <w:pStyle w:val="13"/>
            </w:pPr>
            <w:r>
              <w:t>3.46</w:t>
            </w:r>
          </w:p>
        </w:tc>
        <w:tc>
          <w:tcPr>
            <w:tcW w:w="1361" w:type="dxa"/>
            <w:vAlign w:val="center"/>
          </w:tcPr>
          <w:p>
            <w:pPr>
              <w:pStyle w:val="13"/>
            </w:pPr>
            <w:r>
              <w:t>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20508</w:t>
            </w:r>
          </w:p>
        </w:tc>
        <w:tc>
          <w:tcPr>
            <w:tcW w:w="4535" w:type="dxa"/>
            <w:vAlign w:val="center"/>
          </w:tcPr>
          <w:p>
            <w:pPr>
              <w:pStyle w:val="14"/>
            </w:pPr>
            <w:r>
              <w:t>进修及培训</w:t>
            </w:r>
          </w:p>
        </w:tc>
        <w:tc>
          <w:tcPr>
            <w:tcW w:w="1361" w:type="dxa"/>
            <w:vAlign w:val="center"/>
          </w:tcPr>
          <w:p>
            <w:pPr>
              <w:pStyle w:val="13"/>
            </w:pPr>
            <w:r>
              <w:t>16.19</w:t>
            </w:r>
          </w:p>
        </w:tc>
        <w:tc>
          <w:tcPr>
            <w:tcW w:w="1361" w:type="dxa"/>
            <w:vAlign w:val="center"/>
          </w:tcPr>
          <w:p>
            <w:pPr>
              <w:pStyle w:val="13"/>
            </w:pPr>
            <w:r>
              <w:t>3.46</w:t>
            </w:r>
          </w:p>
        </w:tc>
        <w:tc>
          <w:tcPr>
            <w:tcW w:w="1361" w:type="dxa"/>
            <w:vAlign w:val="center"/>
          </w:tcPr>
          <w:p>
            <w:pPr>
              <w:pStyle w:val="13"/>
            </w:pPr>
            <w:r>
              <w:t>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2050803</w:t>
            </w:r>
          </w:p>
        </w:tc>
        <w:tc>
          <w:tcPr>
            <w:tcW w:w="4535" w:type="dxa"/>
            <w:vAlign w:val="center"/>
          </w:tcPr>
          <w:p>
            <w:pPr>
              <w:pStyle w:val="14"/>
            </w:pPr>
            <w:r>
              <w:t>培训支出</w:t>
            </w:r>
          </w:p>
        </w:tc>
        <w:tc>
          <w:tcPr>
            <w:tcW w:w="1361" w:type="dxa"/>
            <w:vAlign w:val="center"/>
          </w:tcPr>
          <w:p>
            <w:pPr>
              <w:pStyle w:val="13"/>
            </w:pPr>
            <w:r>
              <w:t>16.19</w:t>
            </w:r>
          </w:p>
        </w:tc>
        <w:tc>
          <w:tcPr>
            <w:tcW w:w="1361" w:type="dxa"/>
            <w:vAlign w:val="center"/>
          </w:tcPr>
          <w:p>
            <w:pPr>
              <w:pStyle w:val="13"/>
            </w:pPr>
            <w:r>
              <w:t>3.46</w:t>
            </w:r>
          </w:p>
        </w:tc>
        <w:tc>
          <w:tcPr>
            <w:tcW w:w="1361" w:type="dxa"/>
            <w:vAlign w:val="center"/>
          </w:tcPr>
          <w:p>
            <w:pPr>
              <w:pStyle w:val="13"/>
            </w:pPr>
            <w:r>
              <w:t>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r>
              <w:t>360.00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77.27</w:t>
            </w:r>
          </w:p>
        </w:tc>
        <w:tc>
          <w:tcPr>
            <w:tcW w:w="1361" w:type="dxa"/>
            <w:vAlign w:val="center"/>
          </w:tcPr>
          <w:p>
            <w:pPr>
              <w:pStyle w:val="13"/>
            </w:pPr>
            <w:r>
              <w:t>77.27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77.27</w:t>
            </w:r>
          </w:p>
        </w:tc>
        <w:tc>
          <w:tcPr>
            <w:tcW w:w="1361" w:type="dxa"/>
            <w:vAlign w:val="center"/>
          </w:tcPr>
          <w:p>
            <w:pPr>
              <w:pStyle w:val="13"/>
            </w:pPr>
            <w:r>
              <w:t>77.27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77.27</w:t>
            </w:r>
          </w:p>
        </w:tc>
        <w:tc>
          <w:tcPr>
            <w:tcW w:w="1361" w:type="dxa"/>
            <w:vAlign w:val="center"/>
          </w:tcPr>
          <w:p>
            <w:pPr>
              <w:pStyle w:val="13"/>
            </w:pPr>
            <w:r>
              <w:t>77.27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59.93</w:t>
            </w:r>
          </w:p>
        </w:tc>
        <w:tc>
          <w:tcPr>
            <w:tcW w:w="1361" w:type="dxa"/>
            <w:vAlign w:val="center"/>
          </w:tcPr>
          <w:p>
            <w:pPr>
              <w:pStyle w:val="13"/>
            </w:pPr>
            <w:r>
              <w:t>59.93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59.93</w:t>
            </w:r>
          </w:p>
        </w:tc>
        <w:tc>
          <w:tcPr>
            <w:tcW w:w="1361" w:type="dxa"/>
            <w:vAlign w:val="center"/>
          </w:tcPr>
          <w:p>
            <w:pPr>
              <w:pStyle w:val="13"/>
            </w:pPr>
            <w:r>
              <w:t>59.93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12.13</w:t>
            </w:r>
          </w:p>
        </w:tc>
        <w:tc>
          <w:tcPr>
            <w:tcW w:w="1361" w:type="dxa"/>
            <w:vAlign w:val="center"/>
          </w:tcPr>
          <w:p>
            <w:pPr>
              <w:pStyle w:val="13"/>
            </w:pPr>
            <w:r>
              <w:t>12.13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16.36</w:t>
            </w:r>
          </w:p>
        </w:tc>
        <w:tc>
          <w:tcPr>
            <w:tcW w:w="1361" w:type="dxa"/>
            <w:vAlign w:val="center"/>
          </w:tcPr>
          <w:p>
            <w:pPr>
              <w:pStyle w:val="13"/>
            </w:pPr>
            <w:r>
              <w:t>16.36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31.44</w:t>
            </w:r>
          </w:p>
        </w:tc>
        <w:tc>
          <w:tcPr>
            <w:tcW w:w="1361" w:type="dxa"/>
            <w:vAlign w:val="center"/>
          </w:tcPr>
          <w:p>
            <w:pPr>
              <w:pStyle w:val="13"/>
            </w:pPr>
            <w:r>
              <w:t>31.44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64.08</w:t>
            </w:r>
          </w:p>
        </w:tc>
        <w:tc>
          <w:tcPr>
            <w:tcW w:w="1361" w:type="dxa"/>
            <w:vAlign w:val="center"/>
          </w:tcPr>
          <w:p>
            <w:pPr>
              <w:pStyle w:val="13"/>
            </w:pPr>
            <w:r>
              <w:t>64.08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64.08</w:t>
            </w:r>
          </w:p>
        </w:tc>
        <w:tc>
          <w:tcPr>
            <w:tcW w:w="1361" w:type="dxa"/>
            <w:vAlign w:val="center"/>
          </w:tcPr>
          <w:p>
            <w:pPr>
              <w:pStyle w:val="13"/>
            </w:pPr>
            <w:r>
              <w:t>64.08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64.08</w:t>
            </w:r>
          </w:p>
        </w:tc>
        <w:tc>
          <w:tcPr>
            <w:tcW w:w="1361" w:type="dxa"/>
            <w:vAlign w:val="center"/>
          </w:tcPr>
          <w:p>
            <w:pPr>
              <w:pStyle w:val="13"/>
            </w:pPr>
            <w:r>
              <w:t>64.08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1414.29</w:t>
            </w:r>
          </w:p>
        </w:tc>
        <w:tc>
          <w:tcPr>
            <w:tcW w:w="3402" w:type="dxa"/>
            <w:vAlign w:val="center"/>
          </w:tcPr>
          <w:p>
            <w:pPr>
              <w:pStyle w:val="14"/>
            </w:pPr>
            <w:r>
              <w:t>一、一般公共服务支出</w:t>
            </w:r>
          </w:p>
        </w:tc>
        <w:tc>
          <w:tcPr>
            <w:tcW w:w="1474" w:type="dxa"/>
            <w:vAlign w:val="center"/>
          </w:tcPr>
          <w:p>
            <w:pPr>
              <w:pStyle w:val="13"/>
            </w:pPr>
            <w:r>
              <w:t>836.82</w:t>
            </w:r>
          </w:p>
        </w:tc>
        <w:tc>
          <w:tcPr>
            <w:tcW w:w="1474" w:type="dxa"/>
            <w:vAlign w:val="center"/>
          </w:tcPr>
          <w:p>
            <w:pPr>
              <w:pStyle w:val="13"/>
            </w:pPr>
            <w:r>
              <w:t>836.82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16.19</w:t>
            </w:r>
          </w:p>
        </w:tc>
        <w:tc>
          <w:tcPr>
            <w:tcW w:w="1474" w:type="dxa"/>
            <w:vAlign w:val="center"/>
          </w:tcPr>
          <w:p>
            <w:pPr>
              <w:pStyle w:val="13"/>
            </w:pPr>
            <w:r>
              <w:t>16.19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360.00</w:t>
            </w:r>
          </w:p>
        </w:tc>
        <w:tc>
          <w:tcPr>
            <w:tcW w:w="1474" w:type="dxa"/>
            <w:vAlign w:val="center"/>
          </w:tcPr>
          <w:p>
            <w:pPr>
              <w:pStyle w:val="13"/>
            </w:pPr>
            <w:r>
              <w:t>360.00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77.27</w:t>
            </w:r>
          </w:p>
        </w:tc>
        <w:tc>
          <w:tcPr>
            <w:tcW w:w="1474" w:type="dxa"/>
            <w:vAlign w:val="center"/>
          </w:tcPr>
          <w:p>
            <w:pPr>
              <w:pStyle w:val="13"/>
            </w:pPr>
            <w:r>
              <w:t>77.27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59.93</w:t>
            </w:r>
          </w:p>
        </w:tc>
        <w:tc>
          <w:tcPr>
            <w:tcW w:w="1474" w:type="dxa"/>
            <w:vAlign w:val="center"/>
          </w:tcPr>
          <w:p>
            <w:pPr>
              <w:pStyle w:val="13"/>
            </w:pPr>
            <w:r>
              <w:t>59.93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64.08</w:t>
            </w:r>
          </w:p>
        </w:tc>
        <w:tc>
          <w:tcPr>
            <w:tcW w:w="1474" w:type="dxa"/>
            <w:vAlign w:val="center"/>
          </w:tcPr>
          <w:p>
            <w:pPr>
              <w:pStyle w:val="13"/>
            </w:pPr>
            <w:r>
              <w:t>64.08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1414.29</w:t>
            </w:r>
          </w:p>
        </w:tc>
        <w:tc>
          <w:tcPr>
            <w:tcW w:w="3402" w:type="dxa"/>
            <w:vAlign w:val="center"/>
          </w:tcPr>
          <w:p>
            <w:pPr>
              <w:pStyle w:val="16"/>
            </w:pPr>
            <w:r>
              <w:t>本年支出合计</w:t>
            </w:r>
          </w:p>
        </w:tc>
        <w:tc>
          <w:tcPr>
            <w:tcW w:w="1474" w:type="dxa"/>
            <w:vAlign w:val="center"/>
          </w:tcPr>
          <w:p>
            <w:pPr>
              <w:pStyle w:val="17"/>
            </w:pPr>
            <w:r>
              <w:t>1414.29</w:t>
            </w:r>
          </w:p>
        </w:tc>
        <w:tc>
          <w:tcPr>
            <w:tcW w:w="1474" w:type="dxa"/>
            <w:vAlign w:val="center"/>
          </w:tcPr>
          <w:p>
            <w:pPr>
              <w:pStyle w:val="17"/>
            </w:pPr>
            <w:r>
              <w:t>1414.29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1414.29</w:t>
            </w:r>
          </w:p>
        </w:tc>
        <w:tc>
          <w:tcPr>
            <w:tcW w:w="3402" w:type="dxa"/>
            <w:vAlign w:val="center"/>
          </w:tcPr>
          <w:p>
            <w:pPr>
              <w:pStyle w:val="16"/>
            </w:pPr>
            <w:r>
              <w:t>支出总计</w:t>
            </w:r>
          </w:p>
        </w:tc>
        <w:tc>
          <w:tcPr>
            <w:tcW w:w="1474" w:type="dxa"/>
            <w:vAlign w:val="center"/>
          </w:tcPr>
          <w:p>
            <w:pPr>
              <w:pStyle w:val="17"/>
            </w:pPr>
            <w:r>
              <w:t>1414.29</w:t>
            </w:r>
          </w:p>
        </w:tc>
        <w:tc>
          <w:tcPr>
            <w:tcW w:w="1474" w:type="dxa"/>
            <w:vAlign w:val="center"/>
          </w:tcPr>
          <w:p>
            <w:pPr>
              <w:pStyle w:val="17"/>
            </w:pPr>
            <w:r>
              <w:t>1414.29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1414.29</w:t>
            </w:r>
          </w:p>
        </w:tc>
        <w:tc>
          <w:tcPr>
            <w:tcW w:w="2551" w:type="dxa"/>
            <w:vAlign w:val="center"/>
          </w:tcPr>
          <w:p>
            <w:pPr>
              <w:pStyle w:val="17"/>
            </w:pPr>
            <w:r>
              <w:t>896.58</w:t>
            </w:r>
          </w:p>
        </w:tc>
        <w:tc>
          <w:tcPr>
            <w:tcW w:w="2551" w:type="dxa"/>
            <w:vAlign w:val="center"/>
          </w:tcPr>
          <w:p>
            <w:pPr>
              <w:pStyle w:val="17"/>
            </w:pPr>
            <w:r>
              <w:t>517.71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836.82</w:t>
            </w:r>
          </w:p>
        </w:tc>
        <w:tc>
          <w:tcPr>
            <w:tcW w:w="2551" w:type="dxa"/>
            <w:vAlign w:val="center"/>
          </w:tcPr>
          <w:p>
            <w:pPr>
              <w:pStyle w:val="13"/>
            </w:pPr>
            <w:r>
              <w:t>691.84</w:t>
            </w:r>
          </w:p>
        </w:tc>
        <w:tc>
          <w:tcPr>
            <w:tcW w:w="2551" w:type="dxa"/>
            <w:vAlign w:val="center"/>
          </w:tcPr>
          <w:p>
            <w:pPr>
              <w:pStyle w:val="13"/>
            </w:pPr>
            <w:r>
              <w:t>144.98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836.82</w:t>
            </w:r>
          </w:p>
        </w:tc>
        <w:tc>
          <w:tcPr>
            <w:tcW w:w="2551" w:type="dxa"/>
            <w:vAlign w:val="center"/>
          </w:tcPr>
          <w:p>
            <w:pPr>
              <w:pStyle w:val="13"/>
            </w:pPr>
            <w:r>
              <w:t>691.84</w:t>
            </w:r>
          </w:p>
        </w:tc>
        <w:tc>
          <w:tcPr>
            <w:tcW w:w="2551" w:type="dxa"/>
            <w:vAlign w:val="center"/>
          </w:tcPr>
          <w:p>
            <w:pPr>
              <w:pStyle w:val="13"/>
            </w:pPr>
            <w:r>
              <w:t>144.98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335.56</w:t>
            </w:r>
          </w:p>
        </w:tc>
        <w:tc>
          <w:tcPr>
            <w:tcW w:w="2551" w:type="dxa"/>
            <w:vAlign w:val="center"/>
          </w:tcPr>
          <w:p>
            <w:pPr>
              <w:pStyle w:val="13"/>
            </w:pPr>
            <w:r>
              <w:t>273.90</w:t>
            </w:r>
          </w:p>
        </w:tc>
        <w:tc>
          <w:tcPr>
            <w:tcW w:w="2551" w:type="dxa"/>
            <w:vAlign w:val="center"/>
          </w:tcPr>
          <w:p>
            <w:pPr>
              <w:pStyle w:val="13"/>
            </w:pPr>
            <w:r>
              <w:t>61.66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2012950</w:t>
            </w:r>
          </w:p>
        </w:tc>
        <w:tc>
          <w:tcPr>
            <w:tcW w:w="4535" w:type="dxa"/>
            <w:vAlign w:val="center"/>
          </w:tcPr>
          <w:p>
            <w:pPr>
              <w:pStyle w:val="14"/>
            </w:pPr>
            <w:r>
              <w:t>事业运行</w:t>
            </w:r>
          </w:p>
        </w:tc>
        <w:tc>
          <w:tcPr>
            <w:tcW w:w="2551" w:type="dxa"/>
            <w:vAlign w:val="center"/>
          </w:tcPr>
          <w:p>
            <w:pPr>
              <w:pStyle w:val="13"/>
            </w:pPr>
            <w:r>
              <w:t>451.44</w:t>
            </w:r>
          </w:p>
        </w:tc>
        <w:tc>
          <w:tcPr>
            <w:tcW w:w="2551" w:type="dxa"/>
            <w:vAlign w:val="center"/>
          </w:tcPr>
          <w:p>
            <w:pPr>
              <w:pStyle w:val="13"/>
            </w:pPr>
            <w:r>
              <w:t>417.94</w:t>
            </w:r>
          </w:p>
        </w:tc>
        <w:tc>
          <w:tcPr>
            <w:tcW w:w="2551" w:type="dxa"/>
            <w:vAlign w:val="center"/>
          </w:tcPr>
          <w:p>
            <w:pPr>
              <w:pStyle w:val="1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49.82</w:t>
            </w:r>
          </w:p>
        </w:tc>
        <w:tc>
          <w:tcPr>
            <w:tcW w:w="2551" w:type="dxa"/>
            <w:vAlign w:val="center"/>
          </w:tcPr>
          <w:p>
            <w:pPr>
              <w:pStyle w:val="13"/>
            </w:pPr>
          </w:p>
        </w:tc>
        <w:tc>
          <w:tcPr>
            <w:tcW w:w="2551" w:type="dxa"/>
            <w:vAlign w:val="center"/>
          </w:tcPr>
          <w:p>
            <w:pPr>
              <w:pStyle w:val="13"/>
            </w:pPr>
            <w:r>
              <w:t>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16.19</w:t>
            </w:r>
          </w:p>
        </w:tc>
        <w:tc>
          <w:tcPr>
            <w:tcW w:w="2551" w:type="dxa"/>
            <w:vAlign w:val="center"/>
          </w:tcPr>
          <w:p>
            <w:pPr>
              <w:pStyle w:val="13"/>
            </w:pPr>
            <w:r>
              <w:t>3.46</w:t>
            </w:r>
          </w:p>
        </w:tc>
        <w:tc>
          <w:tcPr>
            <w:tcW w:w="2551" w:type="dxa"/>
            <w:vAlign w:val="center"/>
          </w:tcPr>
          <w:p>
            <w:pPr>
              <w:pStyle w:val="13"/>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16.19</w:t>
            </w:r>
          </w:p>
        </w:tc>
        <w:tc>
          <w:tcPr>
            <w:tcW w:w="2551" w:type="dxa"/>
            <w:vAlign w:val="center"/>
          </w:tcPr>
          <w:p>
            <w:pPr>
              <w:pStyle w:val="13"/>
            </w:pPr>
            <w:r>
              <w:t>3.46</w:t>
            </w:r>
          </w:p>
        </w:tc>
        <w:tc>
          <w:tcPr>
            <w:tcW w:w="2551" w:type="dxa"/>
            <w:vAlign w:val="center"/>
          </w:tcPr>
          <w:p>
            <w:pPr>
              <w:pStyle w:val="13"/>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16.19</w:t>
            </w:r>
          </w:p>
        </w:tc>
        <w:tc>
          <w:tcPr>
            <w:tcW w:w="2551" w:type="dxa"/>
            <w:vAlign w:val="center"/>
          </w:tcPr>
          <w:p>
            <w:pPr>
              <w:pStyle w:val="13"/>
            </w:pPr>
            <w:r>
              <w:t>3.46</w:t>
            </w:r>
          </w:p>
        </w:tc>
        <w:tc>
          <w:tcPr>
            <w:tcW w:w="2551" w:type="dxa"/>
            <w:vAlign w:val="center"/>
          </w:tcPr>
          <w:p>
            <w:pPr>
              <w:pStyle w:val="13"/>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360.00</w:t>
            </w:r>
          </w:p>
        </w:tc>
        <w:tc>
          <w:tcPr>
            <w:tcW w:w="2551" w:type="dxa"/>
            <w:vAlign w:val="center"/>
          </w:tcPr>
          <w:p>
            <w:pPr>
              <w:pStyle w:val="13"/>
            </w:pPr>
          </w:p>
        </w:tc>
        <w:tc>
          <w:tcPr>
            <w:tcW w:w="2551"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360.00</w:t>
            </w:r>
          </w:p>
        </w:tc>
        <w:tc>
          <w:tcPr>
            <w:tcW w:w="2551" w:type="dxa"/>
            <w:vAlign w:val="center"/>
          </w:tcPr>
          <w:p>
            <w:pPr>
              <w:pStyle w:val="13"/>
            </w:pPr>
          </w:p>
        </w:tc>
        <w:tc>
          <w:tcPr>
            <w:tcW w:w="2551"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360.00</w:t>
            </w:r>
          </w:p>
        </w:tc>
        <w:tc>
          <w:tcPr>
            <w:tcW w:w="2551" w:type="dxa"/>
            <w:vAlign w:val="center"/>
          </w:tcPr>
          <w:p>
            <w:pPr>
              <w:pStyle w:val="13"/>
            </w:pPr>
          </w:p>
        </w:tc>
        <w:tc>
          <w:tcPr>
            <w:tcW w:w="2551"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77.27</w:t>
            </w:r>
          </w:p>
        </w:tc>
        <w:tc>
          <w:tcPr>
            <w:tcW w:w="2551" w:type="dxa"/>
            <w:vAlign w:val="center"/>
          </w:tcPr>
          <w:p>
            <w:pPr>
              <w:pStyle w:val="13"/>
            </w:pPr>
            <w:r>
              <w:t>77.27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77.27</w:t>
            </w:r>
          </w:p>
        </w:tc>
        <w:tc>
          <w:tcPr>
            <w:tcW w:w="2551" w:type="dxa"/>
            <w:vAlign w:val="center"/>
          </w:tcPr>
          <w:p>
            <w:pPr>
              <w:pStyle w:val="13"/>
            </w:pPr>
            <w:r>
              <w:t>77.27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77.27</w:t>
            </w:r>
          </w:p>
        </w:tc>
        <w:tc>
          <w:tcPr>
            <w:tcW w:w="2551" w:type="dxa"/>
            <w:vAlign w:val="center"/>
          </w:tcPr>
          <w:p>
            <w:pPr>
              <w:pStyle w:val="13"/>
            </w:pPr>
            <w:r>
              <w:t>77.27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59.93</w:t>
            </w:r>
          </w:p>
        </w:tc>
        <w:tc>
          <w:tcPr>
            <w:tcW w:w="2551" w:type="dxa"/>
            <w:vAlign w:val="center"/>
          </w:tcPr>
          <w:p>
            <w:pPr>
              <w:pStyle w:val="13"/>
            </w:pPr>
            <w:r>
              <w:t>59.93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59.93</w:t>
            </w:r>
          </w:p>
        </w:tc>
        <w:tc>
          <w:tcPr>
            <w:tcW w:w="2551" w:type="dxa"/>
            <w:vAlign w:val="center"/>
          </w:tcPr>
          <w:p>
            <w:pPr>
              <w:pStyle w:val="13"/>
            </w:pPr>
            <w:r>
              <w:t>59.93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12.13</w:t>
            </w:r>
          </w:p>
        </w:tc>
        <w:tc>
          <w:tcPr>
            <w:tcW w:w="2551" w:type="dxa"/>
            <w:vAlign w:val="center"/>
          </w:tcPr>
          <w:p>
            <w:pPr>
              <w:pStyle w:val="13"/>
            </w:pPr>
            <w:r>
              <w:t>12.13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16.36</w:t>
            </w:r>
          </w:p>
        </w:tc>
        <w:tc>
          <w:tcPr>
            <w:tcW w:w="2551" w:type="dxa"/>
            <w:vAlign w:val="center"/>
          </w:tcPr>
          <w:p>
            <w:pPr>
              <w:pStyle w:val="13"/>
            </w:pPr>
            <w:r>
              <w:t>16.36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31.44</w:t>
            </w:r>
          </w:p>
        </w:tc>
        <w:tc>
          <w:tcPr>
            <w:tcW w:w="2551" w:type="dxa"/>
            <w:vAlign w:val="center"/>
          </w:tcPr>
          <w:p>
            <w:pPr>
              <w:pStyle w:val="13"/>
            </w:pPr>
            <w:r>
              <w:t>31.44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64.08</w:t>
            </w:r>
          </w:p>
        </w:tc>
        <w:tc>
          <w:tcPr>
            <w:tcW w:w="2551" w:type="dxa"/>
            <w:vAlign w:val="center"/>
          </w:tcPr>
          <w:p>
            <w:pPr>
              <w:pStyle w:val="13"/>
            </w:pPr>
            <w:r>
              <w:t>64.08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64.08</w:t>
            </w:r>
          </w:p>
        </w:tc>
        <w:tc>
          <w:tcPr>
            <w:tcW w:w="2551" w:type="dxa"/>
            <w:vAlign w:val="center"/>
          </w:tcPr>
          <w:p>
            <w:pPr>
              <w:pStyle w:val="13"/>
            </w:pPr>
            <w:r>
              <w:t>64.08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64.08</w:t>
            </w:r>
          </w:p>
        </w:tc>
        <w:tc>
          <w:tcPr>
            <w:tcW w:w="2551" w:type="dxa"/>
            <w:vAlign w:val="center"/>
          </w:tcPr>
          <w:p>
            <w:pPr>
              <w:pStyle w:val="13"/>
            </w:pPr>
            <w:r>
              <w:t>64.08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896.58</w:t>
            </w:r>
          </w:p>
        </w:tc>
        <w:tc>
          <w:tcPr>
            <w:tcW w:w="2551" w:type="dxa"/>
            <w:vAlign w:val="center"/>
          </w:tcPr>
          <w:p>
            <w:pPr>
              <w:pStyle w:val="17"/>
            </w:pPr>
            <w:r>
              <w:t>835.25</w:t>
            </w:r>
          </w:p>
        </w:tc>
        <w:tc>
          <w:tcPr>
            <w:tcW w:w="2551" w:type="dxa"/>
            <w:vAlign w:val="center"/>
          </w:tcPr>
          <w:p>
            <w:pPr>
              <w:pStyle w:val="17"/>
            </w:pPr>
            <w:r>
              <w:t>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728.45</w:t>
            </w:r>
          </w:p>
        </w:tc>
        <w:tc>
          <w:tcPr>
            <w:tcW w:w="2551" w:type="dxa"/>
            <w:vAlign w:val="center"/>
          </w:tcPr>
          <w:p>
            <w:pPr>
              <w:pStyle w:val="13"/>
            </w:pPr>
            <w:r>
              <w:t>728.45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200.04</w:t>
            </w:r>
          </w:p>
        </w:tc>
        <w:tc>
          <w:tcPr>
            <w:tcW w:w="2551" w:type="dxa"/>
            <w:vAlign w:val="center"/>
          </w:tcPr>
          <w:p>
            <w:pPr>
              <w:pStyle w:val="13"/>
            </w:pPr>
            <w:r>
              <w:t>200.04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111.86</w:t>
            </w:r>
          </w:p>
        </w:tc>
        <w:tc>
          <w:tcPr>
            <w:tcW w:w="2551" w:type="dxa"/>
            <w:vAlign w:val="center"/>
          </w:tcPr>
          <w:p>
            <w:pPr>
              <w:pStyle w:val="13"/>
            </w:pPr>
            <w:r>
              <w:t>111.86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109.31</w:t>
            </w:r>
          </w:p>
        </w:tc>
        <w:tc>
          <w:tcPr>
            <w:tcW w:w="2551" w:type="dxa"/>
            <w:vAlign w:val="center"/>
          </w:tcPr>
          <w:p>
            <w:pPr>
              <w:pStyle w:val="13"/>
            </w:pPr>
            <w:r>
              <w:t>109.31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102.08</w:t>
            </w:r>
          </w:p>
        </w:tc>
        <w:tc>
          <w:tcPr>
            <w:tcW w:w="2551" w:type="dxa"/>
            <w:vAlign w:val="center"/>
          </w:tcPr>
          <w:p>
            <w:pPr>
              <w:pStyle w:val="13"/>
            </w:pPr>
            <w:r>
              <w:t>102.08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77.27</w:t>
            </w:r>
          </w:p>
        </w:tc>
        <w:tc>
          <w:tcPr>
            <w:tcW w:w="2551" w:type="dxa"/>
            <w:vAlign w:val="center"/>
          </w:tcPr>
          <w:p>
            <w:pPr>
              <w:pStyle w:val="13"/>
            </w:pPr>
            <w:r>
              <w:t>77.27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28.49</w:t>
            </w:r>
          </w:p>
        </w:tc>
        <w:tc>
          <w:tcPr>
            <w:tcW w:w="2551" w:type="dxa"/>
            <w:vAlign w:val="center"/>
          </w:tcPr>
          <w:p>
            <w:pPr>
              <w:pStyle w:val="13"/>
            </w:pPr>
            <w:r>
              <w:t>28.49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31.44</w:t>
            </w:r>
          </w:p>
        </w:tc>
        <w:tc>
          <w:tcPr>
            <w:tcW w:w="2551" w:type="dxa"/>
            <w:vAlign w:val="center"/>
          </w:tcPr>
          <w:p>
            <w:pPr>
              <w:pStyle w:val="13"/>
            </w:pPr>
            <w:r>
              <w:t>31.44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64.08</w:t>
            </w:r>
          </w:p>
        </w:tc>
        <w:tc>
          <w:tcPr>
            <w:tcW w:w="2551" w:type="dxa"/>
            <w:vAlign w:val="center"/>
          </w:tcPr>
          <w:p>
            <w:pPr>
              <w:pStyle w:val="13"/>
            </w:pPr>
            <w:r>
              <w:t>64.08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61.33</w:t>
            </w:r>
          </w:p>
        </w:tc>
        <w:tc>
          <w:tcPr>
            <w:tcW w:w="2551" w:type="dxa"/>
            <w:vAlign w:val="center"/>
          </w:tcPr>
          <w:p>
            <w:pPr>
              <w:pStyle w:val="13"/>
            </w:pPr>
          </w:p>
        </w:tc>
        <w:tc>
          <w:tcPr>
            <w:tcW w:w="2551" w:type="dxa"/>
            <w:vAlign w:val="center"/>
          </w:tcPr>
          <w:p>
            <w:pPr>
              <w:pStyle w:val="13"/>
            </w:pPr>
            <w:r>
              <w:t>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3.43</w:t>
            </w:r>
          </w:p>
        </w:tc>
        <w:tc>
          <w:tcPr>
            <w:tcW w:w="2551" w:type="dxa"/>
            <w:vAlign w:val="center"/>
          </w:tcPr>
          <w:p>
            <w:pPr>
              <w:pStyle w:val="13"/>
            </w:pPr>
          </w:p>
        </w:tc>
        <w:tc>
          <w:tcPr>
            <w:tcW w:w="2551" w:type="dxa"/>
            <w:vAlign w:val="center"/>
          </w:tcPr>
          <w:p>
            <w:pPr>
              <w:pStyle w:val="13"/>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13.78</w:t>
            </w:r>
          </w:p>
        </w:tc>
        <w:tc>
          <w:tcPr>
            <w:tcW w:w="2551" w:type="dxa"/>
            <w:vAlign w:val="center"/>
          </w:tcPr>
          <w:p>
            <w:pPr>
              <w:pStyle w:val="13"/>
            </w:pPr>
          </w:p>
        </w:tc>
        <w:tc>
          <w:tcPr>
            <w:tcW w:w="2551" w:type="dxa"/>
            <w:vAlign w:val="center"/>
          </w:tcPr>
          <w:p>
            <w:pPr>
              <w:pStyle w:val="13"/>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9.32</w:t>
            </w:r>
          </w:p>
        </w:tc>
        <w:tc>
          <w:tcPr>
            <w:tcW w:w="2551" w:type="dxa"/>
            <w:vAlign w:val="center"/>
          </w:tcPr>
          <w:p>
            <w:pPr>
              <w:pStyle w:val="13"/>
            </w:pPr>
          </w:p>
        </w:tc>
        <w:tc>
          <w:tcPr>
            <w:tcW w:w="2551" w:type="dxa"/>
            <w:vAlign w:val="center"/>
          </w:tcPr>
          <w:p>
            <w:pPr>
              <w:pStyle w:val="13"/>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3.46</w:t>
            </w:r>
          </w:p>
        </w:tc>
        <w:tc>
          <w:tcPr>
            <w:tcW w:w="2551" w:type="dxa"/>
            <w:vAlign w:val="center"/>
          </w:tcPr>
          <w:p>
            <w:pPr>
              <w:pStyle w:val="13"/>
            </w:pPr>
          </w:p>
        </w:tc>
        <w:tc>
          <w:tcPr>
            <w:tcW w:w="2551" w:type="dxa"/>
            <w:vAlign w:val="center"/>
          </w:tcPr>
          <w:p>
            <w:pPr>
              <w:pStyle w:val="13"/>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4.39</w:t>
            </w:r>
          </w:p>
        </w:tc>
        <w:tc>
          <w:tcPr>
            <w:tcW w:w="2551" w:type="dxa"/>
            <w:vAlign w:val="center"/>
          </w:tcPr>
          <w:p>
            <w:pPr>
              <w:pStyle w:val="13"/>
            </w:pPr>
          </w:p>
        </w:tc>
        <w:tc>
          <w:tcPr>
            <w:tcW w:w="2551" w:type="dxa"/>
            <w:vAlign w:val="center"/>
          </w:tcPr>
          <w:p>
            <w:pPr>
              <w:pStyle w:val="13"/>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5.02</w:t>
            </w:r>
          </w:p>
        </w:tc>
        <w:tc>
          <w:tcPr>
            <w:tcW w:w="2551" w:type="dxa"/>
            <w:vAlign w:val="center"/>
          </w:tcPr>
          <w:p>
            <w:pPr>
              <w:pStyle w:val="13"/>
            </w:pPr>
          </w:p>
        </w:tc>
        <w:tc>
          <w:tcPr>
            <w:tcW w:w="2551"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15.95</w:t>
            </w:r>
          </w:p>
        </w:tc>
        <w:tc>
          <w:tcPr>
            <w:tcW w:w="2551" w:type="dxa"/>
            <w:vAlign w:val="center"/>
          </w:tcPr>
          <w:p>
            <w:pPr>
              <w:pStyle w:val="13"/>
            </w:pPr>
          </w:p>
        </w:tc>
        <w:tc>
          <w:tcPr>
            <w:tcW w:w="2551" w:type="dxa"/>
            <w:vAlign w:val="center"/>
          </w:tcPr>
          <w:p>
            <w:pPr>
              <w:pStyle w:val="13"/>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4.61</w:t>
            </w:r>
          </w:p>
        </w:tc>
        <w:tc>
          <w:tcPr>
            <w:tcW w:w="2551" w:type="dxa"/>
            <w:vAlign w:val="center"/>
          </w:tcPr>
          <w:p>
            <w:pPr>
              <w:pStyle w:val="13"/>
            </w:pPr>
          </w:p>
        </w:tc>
        <w:tc>
          <w:tcPr>
            <w:tcW w:w="2551" w:type="dxa"/>
            <w:vAlign w:val="center"/>
          </w:tcPr>
          <w:p>
            <w:pPr>
              <w:pStyle w:val="13"/>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106.80</w:t>
            </w:r>
          </w:p>
        </w:tc>
        <w:tc>
          <w:tcPr>
            <w:tcW w:w="2551" w:type="dxa"/>
            <w:vAlign w:val="center"/>
          </w:tcPr>
          <w:p>
            <w:pPr>
              <w:pStyle w:val="13"/>
            </w:pPr>
            <w:r>
              <w:t>106.80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89.94</w:t>
            </w:r>
          </w:p>
        </w:tc>
        <w:tc>
          <w:tcPr>
            <w:tcW w:w="2551" w:type="dxa"/>
            <w:vAlign w:val="center"/>
          </w:tcPr>
          <w:p>
            <w:pPr>
              <w:pStyle w:val="13"/>
            </w:pPr>
            <w:r>
              <w:t>89.94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16.78</w:t>
            </w:r>
          </w:p>
        </w:tc>
        <w:tc>
          <w:tcPr>
            <w:tcW w:w="2551" w:type="dxa"/>
            <w:vAlign w:val="center"/>
          </w:tcPr>
          <w:p>
            <w:pPr>
              <w:pStyle w:val="13"/>
            </w:pPr>
            <w:r>
              <w:t>16.78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0.37</w:t>
            </w:r>
          </w:p>
        </w:tc>
        <w:tc>
          <w:tcPr>
            <w:tcW w:w="2381" w:type="dxa"/>
            <w:vAlign w:val="center"/>
          </w:tcPr>
          <w:p>
            <w:pPr>
              <w:pStyle w:val="17"/>
              <w:rPr>
                <w:rFonts w:hint="default" w:eastAsia="方正书宋_GBK"/>
                <w:lang w:val="en-US" w:eastAsia="zh-CN"/>
              </w:rPr>
            </w:pPr>
            <w:r>
              <w:rPr>
                <w:rFonts w:hint="eastAsia"/>
                <w:lang w:val="en-US" w:eastAsia="zh-CN"/>
              </w:rPr>
              <w:t>0.37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0.37</w:t>
            </w:r>
          </w:p>
        </w:tc>
        <w:tc>
          <w:tcPr>
            <w:tcW w:w="2381" w:type="dxa"/>
            <w:vAlign w:val="center"/>
          </w:tcPr>
          <w:p>
            <w:pPr>
              <w:pStyle w:val="13"/>
            </w:pPr>
            <w:r>
              <w:t>0.37</w:t>
            </w:r>
          </w:p>
        </w:tc>
        <w:tc>
          <w:tcPr>
            <w:tcW w:w="2381" w:type="dxa"/>
            <w:vAlign w:val="center"/>
          </w:tcPr>
          <w:p>
            <w:pPr>
              <w:pStyle w:val="13"/>
            </w:pPr>
          </w:p>
        </w:tc>
        <w:tc>
          <w:tcPr>
            <w:tcW w:w="2381" w:type="dxa"/>
            <w:vAlign w:val="center"/>
          </w:tcPr>
          <w:p>
            <w:pPr>
              <w:pStyle w:val="13"/>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bookmarkStart w:id="20" w:name="_GoBack"/>
      <w:bookmarkEnd w:id="20"/>
      <w:r>
        <w:rPr>
          <w:rFonts w:ascii="方正小标宋_GBK" w:hAnsi="方正小标宋_GBK" w:eastAsia="方正小标宋_GBK" w:cs="方正小标宋_GBK"/>
          <w:color w:val="000000"/>
          <w:sz w:val="44"/>
        </w:rPr>
        <w:t>中国共产主义青年团唐山市委员会2024年部门预算信息公开情况说明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按照《中华人民共和国预算法》、《地方预决算公开操作规程》和《关于进一步推进预算公开工作的实施意见》规定，现将中国共产主义青年团唐山市委员会2024年部门预算公开如下：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r>
        <w:t>根据《中国共产主义青年团唐山市委员会职能配置、内设机构和人员编制规定》，中国共产主义青年团唐山市委员会的主要职责是：</w:t>
      </w:r>
    </w:p>
    <w:p>
      <w:pPr>
        <w:pStyle w:val="19"/>
      </w:pPr>
      <w:r>
        <w:t>中国共产主义青年团是中国共产党领导的先进青年的群众组织，是广大青年在实践中学习共产主义的学校，是党的助手和后备军，是党联系青年的桥梁和纽带，是国家政权的重要社会支柱之一。共青团唐山市委在中共唐山市委的领导下。主要职责是：</w:t>
      </w:r>
    </w:p>
    <w:p>
      <w:pPr>
        <w:pStyle w:val="19"/>
      </w:pPr>
      <w:r>
        <w:t>（一）领导全市共青团、青联、学联和少先队工作，指导和管理全市青年和团组织。</w:t>
      </w:r>
    </w:p>
    <w:p>
      <w:pPr>
        <w:pStyle w:val="19"/>
      </w:pPr>
      <w:r>
        <w:t>（二）参与制订青少年事业发展规划和青少年工作方针、政策，对青年工作院校、青少年活动阵地、青少年报刊，青少年服务机构的建设和青少年读物出版等事务进行规划和管理。</w:t>
      </w:r>
    </w:p>
    <w:p>
      <w:pPr>
        <w:pStyle w:val="19"/>
      </w:pPr>
      <w:r>
        <w:t>（三）参与有关青少年事务的法律、法规制定和实施，协助市委、市政府处理协调与青少年利益相关的事务。</w:t>
      </w:r>
    </w:p>
    <w:p>
      <w:pPr>
        <w:pStyle w:val="19"/>
      </w:pPr>
      <w:r>
        <w:t>（四）调查青年思想动态和青年工作状况，研究青少年运动、青少年工作理论和思想教育问题，提出相对对策，开展各种活动，培育“四有”人才。</w:t>
      </w:r>
    </w:p>
    <w:p>
      <w:pPr>
        <w:pStyle w:val="19"/>
      </w:pPr>
      <w:r>
        <w:t>（五）协助市政府、教育部门做好大、中、小学生的教育管理工作。</w:t>
      </w:r>
    </w:p>
    <w:p>
      <w:pPr>
        <w:pStyle w:val="19"/>
      </w:pPr>
      <w:r>
        <w:t>（六）在唐山改革开放与经济建设中，组织和带领青年发挥生力军和突击队作用。</w:t>
      </w:r>
    </w:p>
    <w:p>
      <w:pPr>
        <w:pStyle w:val="19"/>
      </w:pPr>
      <w:r>
        <w:t>（七）会同有关部门对全市青少年外事工作实行归口管理和提供服务，执行国家青少年外事政策，负责唐山与国外青少年团体、政府青少年机构及基地友好团体的交流工作，负责青年对外宣传工作。</w:t>
      </w:r>
    </w:p>
    <w:p>
      <w:pPr>
        <w:pStyle w:val="19"/>
      </w:pPr>
      <w:r>
        <w:t>（八）参与制订有关青年统战工作的政策，做好开年统战工作对象的团结教育工作。</w:t>
      </w:r>
    </w:p>
    <w:p>
      <w:pPr>
        <w:pStyle w:val="19"/>
      </w:pPr>
      <w:r>
        <w:t>（九）承办市委、市政府交办的其他工作任务。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中国共产主义青年团唐山市委员会本级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唐山市希望工程管理中心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唐山市青少年宫</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唐山市青年发展促进中心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按照预算管理有关规定，目前部门预算的编制实行综合预算管理，即全部收入和支出都反映在预算中。中国共产主义青年团唐山市委员会机关及所属事业单位的收支包含在部门预算中。</w:t>
      </w:r>
    </w:p>
    <w:p>
      <w:pPr>
        <w:pStyle w:val="20"/>
      </w:pPr>
      <w:r>
        <w:t>1、收入说明</w:t>
      </w:r>
    </w:p>
    <w:p>
      <w:pPr>
        <w:pStyle w:val="20"/>
      </w:pPr>
      <w:r>
        <w:t>反映本部门当年全部收入。2024年预算收入1414.29万元，其中：一般公共预算收入1414.29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主义青年团唐山市委员会年度部门预算中支出预算的总体情况。2024年支出预算1414.29万元，其中基本支出896.58万元，包括人员经费835.25万元和日常公用经费61.33万元；项目支出517.71万元，主要为</w:t>
      </w:r>
      <w:r>
        <w:rPr>
          <w:rFonts w:hint="eastAsia"/>
          <w:lang w:eastAsia="zh-CN"/>
        </w:rPr>
        <w:t>：</w:t>
      </w:r>
      <w:r>
        <w:t>1.共青团唐山市第十九次代表大会27.00万元；2.青春唐山服务号维护经费16.00万元；</w:t>
      </w:r>
      <w:r>
        <w:rPr>
          <w:highlight w:val="none"/>
        </w:rPr>
        <w:t>3.唐山市青少年宫委托运营PPP项目政府补贴</w:t>
      </w:r>
      <w:r>
        <w:rPr>
          <w:rFonts w:hint="eastAsia"/>
          <w:highlight w:val="none"/>
          <w:lang w:val="en-US" w:eastAsia="zh-CN"/>
        </w:rPr>
        <w:t>360.00万元</w:t>
      </w:r>
      <w:r>
        <w:t>；4.中国少年先锋队唐山市第四次代表大会会议费22.82万元；5.团市委全会3.50万元；6.团市委会议经费8.53万元；7. 党团队组织意识衔接教育经费5.90万元；8.电子设备维护费0.80万元；9.红领巾奖章争章活动1.45万元；10.纪念五四活动经费5.00万元；11.其他交通费2.50万元；12.青年发展规划专项4.00万元；13.少先队辅导员岗位技能大赛经费3.50万元；14.学雷锋活动经费1.20万元；15.预防青少年违法犯罪活动15.20万元；16.其他交通费用2万元；17.青少年宫委托运营PPP项目监管考核费4.00万元；18.青少年宫委托运营PPP项目监管审计费2.50万元；19.其他交通费用1.00万元；20.网络运行维护7.00万元；21.工作业务培训12.73万元；22.工作宣传8.00万元；23.工作调研3.08万元；</w:t>
      </w:r>
    </w:p>
    <w:p>
      <w:pPr>
        <w:pStyle w:val="20"/>
      </w:pPr>
      <w:r>
        <w:t>3、比上年增减情况</w:t>
      </w:r>
    </w:p>
    <w:p>
      <w:pPr>
        <w:pStyle w:val="20"/>
      </w:pPr>
      <w:r>
        <w:t>2024年预算收支安排1414.29万元，较2023年预算减少69.93万元，其中：基本支出增加81.24万元，主要为人员增加。项目支出减少151.17万元，主要为厉行节俭，减少项目支出。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2024年，我部门机关运行经费共计安排61.33万元，主要用于日常维修、办公用房水电费、办公用房取暖费、办公用房物业管理费等日常运行支出。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highlight w:val="none"/>
        </w:rPr>
      </w:pPr>
      <w:r>
        <w:t>2024年，我部门财政拨款“三公”经费预算安排0.</w:t>
      </w:r>
      <w:r>
        <w:rPr>
          <w:rFonts w:hint="eastAsia"/>
          <w:lang w:val="en-US" w:eastAsia="zh-CN"/>
        </w:rPr>
        <w:t>37</w:t>
      </w:r>
      <w:r>
        <w:t>万元，其中因公出国（境）费0.00万元；公务用车购置及运维费0.00万元（其中：公务用车购置费为0.00万元，公务用车运维费0.00万元)；公务接待费0.37万元。</w:t>
      </w:r>
      <w:r>
        <w:rPr>
          <w:highlight w:val="none"/>
        </w:rPr>
        <w:t>与2023年相比</w:t>
      </w:r>
      <w:r>
        <w:rPr>
          <w:rFonts w:hint="eastAsia"/>
          <w:highlight w:val="none"/>
          <w:lang w:eastAsia="zh-CN"/>
        </w:rPr>
        <w:t>减少</w:t>
      </w:r>
      <w:r>
        <w:rPr>
          <w:rFonts w:hint="eastAsia"/>
          <w:highlight w:val="none"/>
          <w:lang w:val="en-US" w:eastAsia="zh-CN"/>
        </w:rPr>
        <w:t>0.07</w:t>
      </w:r>
      <w:r>
        <w:rPr>
          <w:highlight w:val="none"/>
        </w:rPr>
        <w:t>万元，主要原因是厉行节俭，减少支出。</w:t>
      </w:r>
    </w:p>
    <w:p>
      <w:pPr>
        <w:spacing w:before="10" w:after="10" w:line="360" w:lineRule="auto"/>
        <w:ind w:firstLine="640"/>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pPr>
        <w:spacing w:line="500" w:lineRule="exact"/>
        <w:ind w:firstLine="560"/>
      </w:pPr>
      <w:r>
        <w:rPr>
          <w:rFonts w:eastAsia="方正仿宋_GBK"/>
          <w:color w:val="000000"/>
          <w:sz w:val="28"/>
        </w:rPr>
        <w:t>（一）总体绩效目标</w:t>
      </w:r>
    </w:p>
    <w:p>
      <w:pPr>
        <w:pStyle w:val="23"/>
      </w:pPr>
      <w:r>
        <w:t>总体绩效目标：坚持以习近平新时代中国特色社会主义思想为统领，认真贯彻落实市委市政府决策部署，大力弘扬严、实、细、快、久的优良作风，在思想政治引领、助力党政大局、促进青年成长、深化改革攻坚、全面从严治团五个方面下实功、求实效，团结带领全市广大青年为加快实现“三个努力建成”目标不懈奋斗。强化引领凝聚，带领青少年坚定不移听党话、跟党走，助力党政中心，组织团员青年为唐山高质量发展奋勇建功切实强化服务，积极为党做好争取青年人心的工作，推进共青团改革攻坚，在全面从严治团中焕发活力。</w:t>
      </w:r>
    </w:p>
    <w:p>
      <w:pPr>
        <w:spacing w:line="500" w:lineRule="exact"/>
        <w:ind w:firstLine="560"/>
      </w:pPr>
      <w:r>
        <w:rPr>
          <w:rFonts w:eastAsia="方正仿宋_GBK"/>
          <w:color w:val="000000"/>
          <w:sz w:val="28"/>
        </w:rPr>
        <w:t>（二）分项绩效目标</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聚焦“政治学校”功能定位，着力强化政治引领</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用好组织化教育主渠道。发挥党建带团建制度优势，</w:t>
      </w:r>
      <w:r>
        <w:rPr>
          <w:rFonts w:hint="eastAsia" w:ascii="Times New Roman" w:hAnsi="Times New Roman" w:eastAsia="方正仿宋_GBK" w:cs="Times New Roman"/>
          <w:sz w:val="28"/>
          <w:szCs w:val="24"/>
          <w:lang w:val="en-US" w:eastAsia="zh-CN" w:bidi="ar-SA"/>
        </w:rPr>
        <w:t>巩固拓展团员和青年主题教育成果，用好用活</w:t>
      </w:r>
      <w:r>
        <w:rPr>
          <w:rFonts w:hint="eastAsia" w:ascii="Times New Roman" w:hAnsi="Times New Roman" w:eastAsia="方正仿宋_GBK" w:cs="Times New Roman"/>
          <w:sz w:val="28"/>
          <w:szCs w:val="24"/>
          <w:lang w:val="en-US" w:eastAsia="uk-UA" w:bidi="ar-SA"/>
        </w:rPr>
        <w:t>团员和青年主题教育</w:t>
      </w:r>
      <w:r>
        <w:rPr>
          <w:rFonts w:hint="eastAsia" w:ascii="Times New Roman" w:hAnsi="Times New Roman" w:eastAsia="方正仿宋_GBK" w:cs="Times New Roman"/>
          <w:sz w:val="28"/>
          <w:szCs w:val="24"/>
          <w:lang w:val="en-US" w:eastAsia="zh-CN" w:bidi="ar-SA"/>
        </w:rPr>
        <w:t>“问题库”“</w:t>
      </w:r>
      <w:r>
        <w:rPr>
          <w:rFonts w:hint="eastAsia" w:ascii="Times New Roman" w:hAnsi="Times New Roman" w:eastAsia="方正仿宋_GBK" w:cs="Times New Roman"/>
          <w:sz w:val="28"/>
          <w:szCs w:val="24"/>
          <w:lang w:val="en-US" w:eastAsia="uk-UA" w:bidi="ar-SA"/>
        </w:rPr>
        <w:t>典型案例库</w:t>
      </w:r>
      <w:r>
        <w:rPr>
          <w:rFonts w:hint="eastAsia" w:ascii="Times New Roman" w:hAnsi="Times New Roman" w:eastAsia="方正仿宋_GBK" w:cs="Times New Roman"/>
          <w:sz w:val="28"/>
          <w:szCs w:val="24"/>
          <w:lang w:val="en-US" w:eastAsia="zh-CN" w:bidi="ar-SA"/>
        </w:rPr>
        <w:t>”“学习资料库”，探索建立“团干部带头学、共青团员跟进学、青年广泛学”的常态化学习机制</w:t>
      </w:r>
      <w:r>
        <w:rPr>
          <w:rFonts w:hint="eastAsia" w:ascii="Times New Roman" w:hAnsi="Times New Roman" w:eastAsia="方正仿宋_GBK" w:cs="Times New Roman"/>
          <w:sz w:val="28"/>
          <w:szCs w:val="24"/>
          <w:lang w:val="en-US" w:eastAsia="uk-UA" w:bidi="ar-SA"/>
        </w:rPr>
        <w:t>。持续推进“青年大学习”“红领巾爱学习”网上主题团、队课，确保参学率位居全省前列。</w:t>
      </w:r>
      <w:r>
        <w:rPr>
          <w:rFonts w:hint="eastAsia" w:ascii="Times New Roman" w:hAnsi="Times New Roman" w:eastAsia="方正仿宋_GBK" w:cs="Times New Roman"/>
          <w:sz w:val="28"/>
          <w:szCs w:val="24"/>
          <w:lang w:val="en-US" w:eastAsia="zh-CN" w:bidi="ar-SA"/>
        </w:rPr>
        <w:t>在学校思政建设中，积极发挥主力军作用，善用“三会两制一课”，以“青言青语”推动思政课教学成果入脑入心入魂。</w:t>
      </w:r>
      <w:r>
        <w:rPr>
          <w:rFonts w:hint="eastAsia" w:ascii="Times New Roman" w:hAnsi="Times New Roman" w:eastAsia="方正仿宋_GBK" w:cs="Times New Roman"/>
          <w:sz w:val="28"/>
          <w:szCs w:val="24"/>
          <w:lang w:val="en-US" w:eastAsia="uk-UA" w:bidi="ar-SA"/>
        </w:rPr>
        <w:t>推动“青马工程”扩面提质，面向团干部、大学生骨干、少先队辅导员骨干、创业青年、乡村振兴领域</w:t>
      </w:r>
      <w:r>
        <w:rPr>
          <w:rFonts w:hint="eastAsia" w:ascii="Times New Roman" w:hAnsi="Times New Roman" w:eastAsia="方正仿宋_GBK" w:cs="Times New Roman"/>
          <w:sz w:val="28"/>
          <w:szCs w:val="24"/>
          <w:lang w:val="en-US" w:eastAsia="zh-CN" w:bidi="ar-SA"/>
        </w:rPr>
        <w:t>青年、青年社会组织骨干</w:t>
      </w:r>
      <w:r>
        <w:rPr>
          <w:rFonts w:hint="eastAsia" w:ascii="Times New Roman" w:hAnsi="Times New Roman" w:eastAsia="方正仿宋_GBK" w:cs="Times New Roman"/>
          <w:sz w:val="28"/>
          <w:szCs w:val="24"/>
          <w:lang w:val="en-US" w:eastAsia="uk-UA" w:bidi="ar-SA"/>
        </w:rPr>
        <w:t>青年等分层分类开展培训，</w:t>
      </w:r>
      <w:r>
        <w:rPr>
          <w:rFonts w:ascii="Times New Roman" w:hAnsi="Times New Roman" w:eastAsia="方正仿宋_GBK" w:cs="Times New Roman"/>
          <w:sz w:val="28"/>
          <w:szCs w:val="24"/>
          <w:lang w:val="en-US" w:eastAsia="uk-UA" w:bidi="ar-SA"/>
        </w:rPr>
        <w:t>为学员提供政企实习和基层实践</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提升青年化阐释针对性。发挥青年讲师团、</w:t>
      </w:r>
      <w:r>
        <w:rPr>
          <w:rFonts w:hint="eastAsia" w:ascii="Times New Roman" w:hAnsi="Times New Roman" w:eastAsia="方正仿宋_GBK" w:cs="Times New Roman"/>
          <w:sz w:val="28"/>
          <w:szCs w:val="24"/>
          <w:lang w:val="en-US" w:eastAsia="zh-CN" w:bidi="ar-SA"/>
        </w:rPr>
        <w:t>青年先进典型</w:t>
      </w:r>
      <w:r>
        <w:rPr>
          <w:rFonts w:hint="eastAsia" w:ascii="Times New Roman" w:hAnsi="Times New Roman" w:eastAsia="方正仿宋_GBK" w:cs="Times New Roman"/>
          <w:sz w:val="28"/>
          <w:szCs w:val="24"/>
          <w:lang w:val="en-US" w:eastAsia="uk-UA" w:bidi="ar-SA"/>
        </w:rPr>
        <w:t>等作用，做好习近平新时代中国特色社会主义思想</w:t>
      </w:r>
      <w:r>
        <w:rPr>
          <w:rFonts w:hint="eastAsia" w:ascii="Times New Roman" w:hAnsi="Times New Roman" w:eastAsia="方正仿宋_GBK" w:cs="Times New Roman"/>
          <w:sz w:val="28"/>
          <w:szCs w:val="24"/>
          <w:lang w:val="en-US" w:eastAsia="zh-CN" w:bidi="ar-SA"/>
        </w:rPr>
        <w:t>“六进”工作。做好“唐山市最美青年”选树推介工作，开展“青城故事”主题宣讲活动。</w:t>
      </w:r>
      <w:r>
        <w:rPr>
          <w:rFonts w:hint="eastAsia" w:ascii="Times New Roman" w:hAnsi="Times New Roman" w:eastAsia="方正仿宋_GBK" w:cs="Times New Roman"/>
          <w:sz w:val="28"/>
          <w:szCs w:val="24"/>
          <w:lang w:val="en-US" w:eastAsia="uk-UA" w:bidi="ar-SA"/>
        </w:rPr>
        <w:t>强化团属微信、抖音、视频号等新媒体矩阵建设，整合网络大V、数据平台等资源，建立唐山共青团新媒体资源库，</w:t>
      </w:r>
      <w:r>
        <w:rPr>
          <w:rFonts w:hint="eastAsia" w:ascii="Times New Roman" w:hAnsi="Times New Roman" w:eastAsia="方正仿宋_GBK" w:cs="Times New Roman"/>
          <w:sz w:val="28"/>
          <w:szCs w:val="24"/>
          <w:lang w:val="en-US" w:eastAsia="zh-CN" w:bidi="ar-SA"/>
        </w:rPr>
        <w:t>以“有用、高效、易传播”为标准，</w:t>
      </w:r>
      <w:r>
        <w:rPr>
          <w:rFonts w:hint="eastAsia" w:ascii="Times New Roman" w:hAnsi="Times New Roman" w:eastAsia="方正仿宋_GBK" w:cs="Times New Roman"/>
          <w:sz w:val="28"/>
          <w:szCs w:val="24"/>
          <w:lang w:val="en-US" w:eastAsia="uk-UA" w:bidi="ar-SA"/>
        </w:rPr>
        <w:t>研究推出“</w:t>
      </w:r>
      <w:r>
        <w:rPr>
          <w:rFonts w:hint="eastAsia" w:ascii="Times New Roman" w:hAnsi="Times New Roman" w:eastAsia="方正仿宋_GBK" w:cs="Times New Roman"/>
          <w:sz w:val="28"/>
          <w:szCs w:val="24"/>
          <w:lang w:val="en-US" w:eastAsia="zh-CN" w:bidi="ar-SA"/>
        </w:rPr>
        <w:t>惠青</w:t>
      </w:r>
      <w:r>
        <w:rPr>
          <w:rFonts w:hint="eastAsia" w:ascii="Times New Roman" w:hAnsi="Times New Roman" w:eastAsia="方正仿宋_GBK" w:cs="Times New Roman"/>
          <w:sz w:val="28"/>
          <w:szCs w:val="24"/>
          <w:lang w:val="en-US" w:eastAsia="uk-UA" w:bidi="ar-SA"/>
        </w:rPr>
        <w:t>政策解读”“青年典型”“职业体验”等系列短视频，增强网络思想政治引领水平。</w:t>
      </w:r>
    </w:p>
    <w:p>
      <w:pPr>
        <w:pStyle w:val="32"/>
        <w:keepNext w:val="0"/>
        <w:keepLines w:val="0"/>
        <w:pageBreakBefore w:val="0"/>
        <w:widowControl w:val="0"/>
        <w:kinsoku/>
        <w:wordWrap/>
        <w:overflowPunct/>
        <w:topLinePunct w:val="0"/>
        <w:autoSpaceDE/>
        <w:autoSpaceDN/>
        <w:bidi w:val="0"/>
        <w:adjustRightInd w:val="0"/>
        <w:snapToGrid w:val="0"/>
        <w:spacing w:line="570" w:lineRule="exact"/>
        <w:ind w:firstLine="64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扩大社会化实践影响力</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打造“靓青春”青年文化艺术季品牌，开展校园歌唱比赛、书画作品征集等系列活动。抓住京津冀协同发展十周年有利契机，深化</w:t>
      </w:r>
      <w:r>
        <w:rPr>
          <w:rFonts w:hint="eastAsia" w:ascii="Times New Roman" w:hAnsi="Times New Roman" w:eastAsia="方正仿宋_GBK" w:cs="Times New Roman"/>
          <w:sz w:val="28"/>
          <w:szCs w:val="24"/>
          <w:lang w:val="en-US" w:eastAsia="uk-UA" w:bidi="ar-SA"/>
        </w:rPr>
        <w:t>“这么近，那么美，周末到河北”京津冀青少年交流推介活动，</w:t>
      </w:r>
      <w:r>
        <w:rPr>
          <w:rFonts w:hint="eastAsia" w:ascii="Times New Roman" w:hAnsi="Times New Roman" w:eastAsia="方正仿宋_GBK" w:cs="Times New Roman"/>
          <w:sz w:val="28"/>
          <w:szCs w:val="24"/>
          <w:lang w:val="en-US" w:eastAsia="zh-CN" w:bidi="ar-SA"/>
        </w:rPr>
        <w:t>邀请更多青少年来唐交流实践。</w:t>
      </w:r>
      <w:r>
        <w:rPr>
          <w:rFonts w:hint="eastAsia" w:ascii="Times New Roman" w:hAnsi="Times New Roman" w:eastAsia="方正仿宋_GBK" w:cs="Times New Roman"/>
          <w:sz w:val="28"/>
          <w:szCs w:val="24"/>
          <w:lang w:val="en-US" w:eastAsia="uk-UA" w:bidi="ar-SA"/>
        </w:rPr>
        <w:t>与新疆、西藏</w:t>
      </w:r>
      <w:r>
        <w:rPr>
          <w:rFonts w:hint="eastAsia" w:ascii="Times New Roman" w:hAnsi="Times New Roman" w:eastAsia="方正仿宋_GBK" w:cs="Times New Roman"/>
          <w:sz w:val="28"/>
          <w:szCs w:val="24"/>
          <w:lang w:val="en-US" w:eastAsia="zh-CN" w:bidi="ar-SA"/>
        </w:rPr>
        <w:t>等地</w:t>
      </w:r>
      <w:r>
        <w:rPr>
          <w:rFonts w:hint="eastAsia" w:ascii="Times New Roman" w:hAnsi="Times New Roman" w:eastAsia="方正仿宋_GBK" w:cs="Times New Roman"/>
          <w:sz w:val="28"/>
          <w:szCs w:val="24"/>
          <w:lang w:val="en-US" w:eastAsia="uk-UA" w:bidi="ar-SA"/>
        </w:rPr>
        <w:t>青少年开展互动交流，促进各民族青少年交往交流交融。</w:t>
      </w:r>
    </w:p>
    <w:p>
      <w:pPr>
        <w:pStyle w:val="3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完善涉青年领域风险防范化解机制。严格落实意识形态工作责任制，认真贯彻落实中央和省、市委关于意识形态工作的安排部署，定期研判意识形态领域情况，发挥网络文明志愿者、网评员队伍等作用，强化正面宣传引导，维护网络意识形态安全。加强对青少年思想动态的常态化监测，探索建立舆情响应机制，对涉团涉青领域风险隐患协同有关单位快速研判处置。建立市、县两级专职团干部舆情应对骨干队伍。</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、围绕“先锋力量”内在要求，不断展现青年担当</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开展创新创造促进高质量发展行动。定期举办青创培训、路演</w:t>
      </w:r>
      <w:r>
        <w:rPr>
          <w:rFonts w:hint="eastAsia" w:ascii="Times New Roman" w:hAnsi="Times New Roman" w:eastAsia="方正仿宋_GBK" w:cs="Times New Roman"/>
          <w:sz w:val="28"/>
          <w:szCs w:val="24"/>
          <w:lang w:val="en-US" w:eastAsia="zh-CN" w:bidi="ar-SA"/>
        </w:rPr>
        <w:t>、沙龙等活动</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 w:eastAsia="zh-CN" w:bidi="ar-SA"/>
        </w:rPr>
        <w:t>做好2023年承办省“创青春”决赛</w:t>
      </w:r>
      <w:r>
        <w:rPr>
          <w:rFonts w:hint="eastAsia" w:ascii="Times New Roman" w:hAnsi="Times New Roman" w:eastAsia="方正仿宋_GBK" w:cs="Times New Roman"/>
          <w:sz w:val="28"/>
          <w:szCs w:val="24"/>
          <w:lang w:val="en-US" w:eastAsia="zh-CN" w:bidi="ar-SA"/>
        </w:rPr>
        <w:t>后半篇文章，</w:t>
      </w:r>
      <w:r>
        <w:rPr>
          <w:rFonts w:hint="eastAsia" w:ascii="Times New Roman" w:hAnsi="Times New Roman" w:eastAsia="方正仿宋_GBK" w:cs="Times New Roman"/>
          <w:sz w:val="28"/>
          <w:szCs w:val="24"/>
          <w:lang w:val="en" w:eastAsia="zh-CN" w:bidi="ar-SA"/>
        </w:rPr>
        <w:t>深挖历年来“创青春”获奖项目，</w:t>
      </w:r>
      <w:r>
        <w:rPr>
          <w:rFonts w:hint="eastAsia" w:ascii="Times New Roman" w:hAnsi="Times New Roman" w:eastAsia="方正仿宋_GBK" w:cs="Times New Roman"/>
          <w:sz w:val="28"/>
          <w:szCs w:val="24"/>
          <w:lang w:val="en-US" w:eastAsia="uk-UA" w:bidi="ar-SA"/>
        </w:rPr>
        <w:t>联系服务青创项目。</w:t>
      </w:r>
      <w:r>
        <w:rPr>
          <w:rFonts w:hint="eastAsia" w:ascii="Times New Roman" w:hAnsi="Times New Roman" w:eastAsia="方正仿宋_GBK" w:cs="Times New Roman"/>
          <w:sz w:val="28"/>
          <w:szCs w:val="24"/>
          <w:lang w:val="en-US" w:eastAsia="zh-CN" w:bidi="ar-SA"/>
        </w:rPr>
        <w:t>举办金团合作“金团助青企”活动，常态化搭建银企对接平台。成立唐山市青年创新创业投资基金，</w:t>
      </w:r>
      <w:r>
        <w:rPr>
          <w:rFonts w:hint="eastAsia" w:ascii="Times New Roman" w:hAnsi="Times New Roman" w:eastAsia="方正仿宋_GBK" w:cs="Times New Roman"/>
          <w:sz w:val="28"/>
          <w:szCs w:val="24"/>
          <w:lang w:val="en-US" w:eastAsia="uk-UA" w:bidi="ar-SA"/>
        </w:rPr>
        <w:t>深化青年创业担保贷款工作，为创业青年提供融资“绿色通道”。开展共青团助力优化营商环境、科技自立自强、创新创业系列活动，举办</w:t>
      </w:r>
      <w:r>
        <w:rPr>
          <w:rFonts w:hint="eastAsia" w:ascii="Times New Roman" w:hAnsi="Times New Roman" w:eastAsia="方正仿宋_GBK" w:cs="Times New Roman"/>
          <w:sz w:val="28"/>
          <w:szCs w:val="24"/>
          <w:lang w:val="en-US" w:eastAsia="zh-CN" w:bidi="ar-SA"/>
        </w:rPr>
        <w:t>京津冀</w:t>
      </w:r>
      <w:r>
        <w:rPr>
          <w:rFonts w:hint="eastAsia" w:ascii="Times New Roman" w:hAnsi="Times New Roman" w:eastAsia="方正仿宋_GBK" w:cs="Times New Roman"/>
          <w:sz w:val="28"/>
          <w:szCs w:val="24"/>
          <w:lang w:val="en-US" w:eastAsia="uk-UA" w:bidi="ar-SA"/>
        </w:rPr>
        <w:t>青年</w:t>
      </w:r>
      <w:r>
        <w:rPr>
          <w:rFonts w:hint="eastAsia" w:ascii="Times New Roman" w:hAnsi="Times New Roman" w:eastAsia="方正仿宋_GBK" w:cs="Times New Roman"/>
          <w:sz w:val="28"/>
          <w:szCs w:val="24"/>
          <w:lang w:val="en-US" w:eastAsia="zh-CN" w:bidi="ar-SA"/>
        </w:rPr>
        <w:t>创新创业交流活动</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配合开展青年人才就业交流论坛。以“春风行动”就业招聘为依托，以青年创新创业为引领，实现青年就业创业项目、人才、资金、政策等要素的有效对接。</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开展职业青年争先创优行动。深化</w:t>
      </w:r>
      <w:r>
        <w:rPr>
          <w:rFonts w:hint="eastAsia" w:ascii="Times New Roman" w:hAnsi="Times New Roman" w:eastAsia="方正仿宋_GBK" w:cs="Times New Roman"/>
          <w:sz w:val="28"/>
          <w:szCs w:val="24"/>
          <w:lang w:val="en-US" w:eastAsia="zh-CN" w:bidi="ar-SA"/>
        </w:rPr>
        <w:t>以“助力优化营商环境·青年文明号在行动”为主题的</w:t>
      </w:r>
      <w:r>
        <w:rPr>
          <w:rFonts w:hint="eastAsia" w:ascii="Times New Roman" w:hAnsi="Times New Roman" w:eastAsia="方正仿宋_GBK" w:cs="Times New Roman"/>
          <w:sz w:val="28"/>
          <w:szCs w:val="24"/>
          <w:lang w:val="en-US" w:eastAsia="uk-UA" w:bidi="ar-SA"/>
        </w:rPr>
        <w:t>青年文明号</w:t>
      </w:r>
      <w:r>
        <w:rPr>
          <w:rFonts w:hint="eastAsia" w:ascii="Times New Roman" w:hAnsi="Times New Roman" w:eastAsia="方正仿宋_GBK" w:cs="Times New Roman"/>
          <w:sz w:val="28"/>
          <w:szCs w:val="24"/>
          <w:lang w:val="en-US" w:eastAsia="zh-CN" w:bidi="ar-SA"/>
        </w:rPr>
        <w:t>建设工作，发挥历届国号、省号职业引领作用。强化</w:t>
      </w:r>
      <w:r>
        <w:rPr>
          <w:rFonts w:hint="eastAsia" w:ascii="Times New Roman" w:hAnsi="Times New Roman" w:eastAsia="方正仿宋_GBK" w:cs="Times New Roman"/>
          <w:sz w:val="28"/>
          <w:szCs w:val="24"/>
          <w:lang w:val="en-US" w:eastAsia="uk-UA" w:bidi="ar-SA"/>
        </w:rPr>
        <w:t>“青年安全生产示范岗”建设</w:t>
      </w:r>
      <w:r>
        <w:rPr>
          <w:rFonts w:hint="eastAsia" w:ascii="Times New Roman" w:hAnsi="Times New Roman" w:eastAsia="方正仿宋_GBK" w:cs="Times New Roman"/>
          <w:sz w:val="28"/>
          <w:szCs w:val="24"/>
          <w:lang w:val="en-US" w:eastAsia="zh-CN" w:bidi="ar-SA"/>
        </w:rPr>
        <w:t>，挖掘、吸引更多行业青年参与活动，开展青年安全生产示范岗（创建）集体交流活动，</w:t>
      </w:r>
      <w:r>
        <w:rPr>
          <w:rFonts w:hint="eastAsia" w:ascii="Times New Roman" w:hAnsi="Times New Roman" w:eastAsia="方正仿宋_GBK" w:cs="Times New Roman"/>
          <w:sz w:val="28"/>
          <w:szCs w:val="24"/>
          <w:lang w:val="en-US" w:eastAsia="uk-UA" w:bidi="ar-SA"/>
        </w:rPr>
        <w:t>持续拓展“振兴杯”青年职业技能大赛</w:t>
      </w:r>
      <w:r>
        <w:rPr>
          <w:rFonts w:hint="eastAsia" w:ascii="Times New Roman" w:hAnsi="Times New Roman" w:eastAsia="方正仿宋_GBK" w:cs="Times New Roman"/>
          <w:sz w:val="28"/>
          <w:szCs w:val="24"/>
          <w:lang w:val="en-US" w:eastAsia="zh-CN" w:bidi="ar-SA"/>
        </w:rPr>
        <w:t>活动</w:t>
      </w:r>
      <w:r>
        <w:rPr>
          <w:rFonts w:hint="eastAsia" w:ascii="Times New Roman" w:hAnsi="Times New Roman" w:eastAsia="方正仿宋_GBK" w:cs="Times New Roman"/>
          <w:sz w:val="28"/>
          <w:szCs w:val="24"/>
          <w:lang w:val="en-US" w:eastAsia="uk-UA" w:bidi="ar-SA"/>
        </w:rPr>
        <w:t>覆盖面</w:t>
      </w:r>
      <w:r>
        <w:rPr>
          <w:rFonts w:hint="eastAsia" w:ascii="Times New Roman" w:hAnsi="Times New Roman" w:eastAsia="方正仿宋_GBK" w:cs="Times New Roman"/>
          <w:sz w:val="28"/>
          <w:szCs w:val="24"/>
          <w:lang w:val="en-US" w:eastAsia="zh-CN" w:bidi="ar-SA"/>
        </w:rPr>
        <w:t>，积极选树先进典型，着重培育青年职业技能人才。</w:t>
      </w:r>
      <w:r>
        <w:rPr>
          <w:rFonts w:hint="eastAsia" w:ascii="Times New Roman" w:hAnsi="Times New Roman" w:eastAsia="方正仿宋_GBK" w:cs="Times New Roman"/>
          <w:sz w:val="28"/>
          <w:szCs w:val="24"/>
          <w:lang w:val="en-US" w:eastAsia="uk-UA" w:bidi="ar-SA"/>
        </w:rPr>
        <w:t>坚持以赛促学、以赛促训、以赛促评、以赛促建，健全面向不同年龄段青少年分层分类赛事体系，助力“赛事之城、圆梦之城”建设。</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深化“乡村振兴·团青建功”行动。</w:t>
      </w:r>
      <w:r>
        <w:rPr>
          <w:rFonts w:hint="eastAsia" w:ascii="Times New Roman" w:hAnsi="Times New Roman" w:eastAsia="方正仿宋_GBK" w:cs="Times New Roman"/>
          <w:sz w:val="28"/>
          <w:szCs w:val="24"/>
          <w:lang w:val="en-US" w:eastAsia="zh-CN" w:bidi="ar-SA"/>
        </w:rPr>
        <w:t>继续发挥“</w:t>
      </w:r>
      <w:r>
        <w:rPr>
          <w:rFonts w:hint="eastAsia" w:ascii="Times New Roman" w:hAnsi="Times New Roman" w:eastAsia="方正仿宋_GBK" w:cs="Times New Roman"/>
          <w:sz w:val="28"/>
          <w:szCs w:val="24"/>
          <w:lang w:val="en-US" w:eastAsia="uk-UA" w:bidi="ar-SA"/>
        </w:rPr>
        <w:t>青耘中国</w:t>
      </w:r>
      <w:r>
        <w:rPr>
          <w:rFonts w:hint="eastAsia" w:ascii="Times New Roman" w:hAnsi="Times New Roman" w:eastAsia="方正仿宋_GBK" w:cs="Times New Roman"/>
          <w:sz w:val="28"/>
          <w:szCs w:val="24"/>
          <w:lang w:val="en-US" w:eastAsia="zh-CN" w:bidi="ar-SA"/>
        </w:rPr>
        <w:t>”直播助农活动、“我为家乡农产品代言”平台作用</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持续深化与农业农村部门合作，举办高素质青年农民培育暨乡村振兴领域“青马工程”培训班。抓好首届、第二届唐山获评全国乡村振兴青年先锋等青年典型培育工作，更好发挥示范引领作用。</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践行绿色生态环保理念。扎实开展“挥洒绿色青春·建功生态唐山”主题活动，以学习宣传贯彻习近平生态文明思想为主线，积极开展“揽月湾之夏”京津冀青少年海洋环保文化艺术节、建设青年林等生态环保活动，构建以保护母亲河、垃圾分类等为主要内容的新时代共青团参与生态文明建设的工作格局。</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持续推进“红马甲飘扬凤凰城”行动。扎实开展“小橘灯”助残接力计划</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“寸草心爱老敬老行动”</w:t>
      </w:r>
      <w:r>
        <w:rPr>
          <w:rFonts w:hint="eastAsia" w:ascii="Times New Roman" w:hAnsi="Times New Roman" w:eastAsia="方正仿宋_GBK" w:cs="Times New Roman"/>
          <w:sz w:val="28"/>
          <w:szCs w:val="24"/>
          <w:lang w:val="en-US" w:eastAsia="zh-CN" w:bidi="ar-SA"/>
        </w:rPr>
        <w:t>和“垃圾分类”等方面 志愿服务活动</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组织青年志愿者投身2024年唐山马拉松等大型赛会志愿服务，</w:t>
      </w:r>
      <w:r>
        <w:rPr>
          <w:rFonts w:hint="eastAsia" w:ascii="Times New Roman" w:hAnsi="Times New Roman" w:eastAsia="方正仿宋_GBK" w:cs="Times New Roman"/>
          <w:sz w:val="28"/>
          <w:szCs w:val="24"/>
          <w:lang w:val="en-US" w:eastAsia="uk-UA" w:bidi="ar-SA"/>
        </w:rPr>
        <w:t>做好大型赛会志愿服务成果转化，出台唐山市大型赛会青年志愿服务管理规范、服务规范等文件。健全完善低温雨雪天气志愿服务应急机制和社会动员机制。推进县级青年志愿者协会建设。依托志愿服务专家库、骨干志愿者库等资源，开展志愿服务理论研究，巩固拓展青年志愿服务品牌。探索</w:t>
      </w:r>
      <w:r>
        <w:rPr>
          <w:rFonts w:hint="eastAsia" w:ascii="Times New Roman" w:hAnsi="Times New Roman" w:eastAsia="方正仿宋_GBK" w:cs="Times New Roman"/>
          <w:sz w:val="28"/>
          <w:szCs w:val="24"/>
          <w:lang w:val="en-US" w:eastAsia="zh-CN" w:bidi="ar-SA"/>
        </w:rPr>
        <w:t>建立</w:t>
      </w:r>
      <w:r>
        <w:rPr>
          <w:rFonts w:hint="eastAsia" w:ascii="Times New Roman" w:hAnsi="Times New Roman" w:eastAsia="方正仿宋_GBK" w:cs="Times New Roman"/>
          <w:sz w:val="28"/>
          <w:szCs w:val="24"/>
          <w:lang w:val="en-US" w:eastAsia="uk-UA" w:bidi="ar-SA"/>
        </w:rPr>
        <w:t>青年志愿者应急响应机制</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实现青年志愿者服务基层网格化运行</w:t>
      </w:r>
      <w:r>
        <w:rPr>
          <w:rFonts w:hint="eastAsia" w:ascii="Times New Roman" w:hAnsi="Times New Roman" w:eastAsia="方正仿宋_GBK" w:cs="Times New Roman"/>
          <w:sz w:val="28"/>
          <w:szCs w:val="24"/>
          <w:lang w:val="en-US" w:eastAsia="zh-CN" w:bidi="ar-SA"/>
        </w:rPr>
        <w:t>，深入社区</w:t>
      </w:r>
      <w:r>
        <w:rPr>
          <w:rFonts w:hint="eastAsia" w:ascii="Times New Roman" w:hAnsi="Times New Roman" w:eastAsia="方正仿宋_GBK" w:cs="Times New Roman"/>
          <w:sz w:val="28"/>
          <w:szCs w:val="24"/>
          <w:lang w:val="en-US" w:eastAsia="uk-UA" w:bidi="ar-SA"/>
        </w:rPr>
        <w:t>基层一线</w:t>
      </w:r>
      <w:r>
        <w:rPr>
          <w:rFonts w:hint="eastAsia" w:ascii="Times New Roman" w:hAnsi="Times New Roman" w:eastAsia="方正仿宋_GBK" w:cs="Times New Roman"/>
          <w:sz w:val="28"/>
          <w:szCs w:val="24"/>
          <w:lang w:val="en-US" w:eastAsia="zh-CN" w:bidi="ar-SA"/>
        </w:rPr>
        <w:t>开展服务</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zh-CN" w:bidi="ar-SA"/>
        </w:rPr>
        <w:t>积极参与社会服务和基层治理。扎实推进百万大学生社区建功行动，力争实现不少于30%的高校团支部与社区结对子，共同策划实施社会实践项目，引领广大青年学生在社区中加强实践锻炼、增长本领才干。探索共青团参与基层治理的工作路径，推动青少年事务社工人才队伍建设。实施社区青少年“伙伴计划”示范项目，完成丰南、曹妃甸“伙伴计划”终期评估验收工作，推动“社区青春行动”提质增效。</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紧扣“桥梁纽带”作用发挥，切实提升服务能力</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 xml:space="preserve">高标准完成全国青年发展型城市建设试点终期评估工作。对标对表先进城市经验做法，完善青年发展型城市建设评估评价体系，制定工作清单、责任清单、时限清单，补短板、强弱项，锻长板、出亮点。制定全国青年发展型城市建设试点终期模拟迎检验收方案，严格按照时间节点完成终期评估准备工作，全面做好终期评估迎检准备。聚焦点位打造，根据自身特色和周边环境布置鲜明的主题，打造具有示范意义的点位，加强服务功能与青年特色宣传的整合，融入青年相关的元素和故事，精心策划形式与内容的有机结合。通过统一的品牌标识、导视系统、青春故事等手段，浓厚青年发展型城市的宣传氛围，加强青年的识别度和归属感。 </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扩大青年发展普惠政策出台。强化政策成果导向，聚焦养老托幼、就业创业、安居健康等青年民生需求，推动成员单位出台更多惠青政策，增加城市美誉度和人才吸引力。</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推进青年实事项目落地。聚焦青年本身，了解青年实际需求，倾听青年心声、回应青年关切，切实出台和推动更多青年实事项目落地。优化青年就业创业渠道，深入落实“凤凰英才”政策体系，积极吸引青年人才来唐就业创业，加大青年就业见习力度，为青年创造更多高质量就业机会。积极参与打造“赛事之城·圆梦之城”，引导青年积极投身电竞、运动等产业，为青年打造圆梦舞台。聚焦“一老一幼”问题，努力实现养老托育服务优质共享，切实解决青年后顾之忧。通过号召青年投身体育健身热潮，推动打造唐山网红打卡地，持续丰富青年文化体育生活。</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创新性开展的相关工作。优化“青春唐山”大数据平台，进一步加深与“幸福唐山”APP的融合，发挥青春唐山大数据平台作用，精准开展青年数据统计，为市委决策部署提供数据支撑。加强青年发展智库建设，与相关高校结合，组建青年发展理论研究组，邀请专家学者开展青年相关课题调研和专题研究，用理论成果支持青年发展型城市建设。主动衔接“十五五”国家经济和社会发展规划纲要，推动设立“青年优先发展”专节。</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、着眼“先进组织”建设目标，扎实推进改革攻坚</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加强全市共青团系统党的建设。巩固拓展学习贯彻习近平新时代中国特色社会主义思想主题教育成果，健全“第一议题”制度、理论学习制度，强化党性教育。持续深化“党建引领·绚丽青春”党建工作品牌。围绕庆祝中华人民共和国成立75周年，开展系列活动。加强团市委机关政治建设，打造领导班子成员、机关党委、党支部和党员干部“四级联动”学习机制，定期开展青年理论学习小组学习活动。常态化推进警示教育，召开全市共青团政治性警示教育大会。</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推动各级团的领导班子落实全面从严治党主体责任。团市委班子成员和县级团的领导班子带头深学细悟笃行习近平新时代中国特色社会主义思想，带头贯彻落实习近平总书记重要指示批示精神和党中央决策部署，落实市委、团省委部署安排，带头抓实理论学习中心组学习，带头加强调查研究，带头廉洁自律，提高服务高质量发展本领、群众工作本领、防范化解风险本领。</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稳健运营团属青少年宫。精准掌握青少年需求，提高供需匹配度，提升青少年宫服务质效和水平。严格落实安全生产责任制，在消防应急管理、停车秩序管理、安全隐患排查整治等方面加强工作统筹，确保安全无事故。坚持新时代“枫桥经验”，规范委托方运营管理，做到小事不出院、大事不出宫。每个月召开安全生产例会，就委托运营期间各项安全生产工作任务进行部署，并按照《唐山市青少年宫委托运营PPP项目运营安全日常监督管理方案》抓好日常监管。</w:t>
      </w:r>
    </w:p>
    <w:p>
      <w:pPr>
        <w:spacing w:line="500" w:lineRule="exact"/>
        <w:ind w:firstLine="560"/>
        <w:rPr>
          <w:rFonts w:eastAsia="方正仿宋_GBK"/>
          <w:color w:val="000000"/>
          <w:sz w:val="28"/>
          <w:highlight w:val="none"/>
        </w:rPr>
      </w:pPr>
      <w:r>
        <w:rPr>
          <w:rFonts w:eastAsia="方正仿宋_GBK"/>
          <w:color w:val="000000"/>
          <w:sz w:val="28"/>
          <w:highlight w:val="none"/>
        </w:rPr>
        <w:t>（三）工作保障措施</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强组织，打造坚强堡垒。巩固传统领域组织建设，在人才、安居等符合建团条件的市属国有重点企业实现团组织应建尽建。紧跟党建工作步伐，在“两企三新”中稳步推进团组织建设。拓展行业系统团建，探索在国资委系统、驻唐央企等领域建立团组织。推动县域共青团基层组织改革向纵深发展，严肃团内政治生活，高质量推进“三会两制一课”、团员先进性评价、支部对标定级、学社衔接等工作。遴选基层组织改革经典案例，编印推介到全市各县（市、区），形成一批可推广、可复制的经验成果；开展交流观摩等学习活动，不断提升基层组织规范化水平。</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拓覆盖，延伸工作手臂。巩固拓展县域共青团改革成果，加大青工委建设力度，推进在全市乡镇（街道）、学校、“两企三新”等领域建立青年工作委员会。探索建立北京、天津驻唐企业联合青工委。大力建设活动型青年社团，推进“团组织+青年社团”的模式，依托地缘、业缘、趣缘、益缘、学缘等机理，提高组织覆盖灵活性、有效性，助推更多青年投身基层组织社会治理。广泛建设互动式网络社群，提升组织动员效能。</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提能力，优化团员结构。落实团中央、团省委关于团员调控工作的要求，严把团员“入口关”，结合各地各领域团青比等情况，科学测算2024年初中、高中（中职）、高校和社会领域新发展团员计划。加强共青团组织教育与学校思政课的配合衔接，规范和加强少先队推优入团、共青团推优入党和学社衔接工作机制，突出政治标准，严格入团程序，规范建立新发展团员电子档案。落实《中国共产主义青年团入团仪式仪程规范（试行）》《超龄离团仪式规定（试行）》，指导基层团组织规范开展离队入团仪式、超龄离团仪式等团内仪式教育，学校团组织每学期至少开展1次团内仪式教育活动。严格执行团内纪律处分条例，依规依纪处置不合格团员、违法犯罪团员。</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zh-CN" w:bidi="ar-SA"/>
        </w:rPr>
        <w:t>转作风，培养干部队伍。持续开展团干部成长观教育，进一步提高团干部政治能力和执行能力、制度意识和规矩意识，推动做好末端落实。严抓团中央六条规定执行，切实推动团干部思想大解放、作风大转变、能力大提升、工作大落实。加强团干部配备协管工作。持续优化密切联系青年机制，全市专挂团干部每人每年至少2次面向基层团干部、团员青年开展宣讲。充分发挥考核指挥棒作用，制发《唐山市县级共青团考核办法》《共青团唐山市委内部职能考核工作办法（试行）》。制定《唐山市团干部教育培训工作方案》，健全完善团干部培训、学习、交流机制，举办市级团干部培训班，推报团干部参加团省委、团中央调训，为每名新任职县级团委团干部量身定制基层建设制度汇编等学习指南，提升团干部政治理论素养和业务水平。开展“争当争创‘两红两优’”典型选树活动，为省级、国家级“两红两优”申报评选储备人才。</w:t>
      </w:r>
    </w:p>
    <w:p>
      <w:pPr>
        <w:keepNext w:val="0"/>
        <w:keepLines w:val="0"/>
        <w:pageBreakBefore w:val="0"/>
        <w:widowControl w:val="0"/>
        <w:kinsoku/>
        <w:wordWrap/>
        <w:overflowPunct/>
        <w:topLinePunct w:val="0"/>
        <w:autoSpaceDE/>
        <w:autoSpaceDN/>
        <w:bidi w:val="0"/>
        <w:spacing w:line="570" w:lineRule="exact"/>
        <w:ind w:firstLine="560" w:firstLineChars="200"/>
        <w:textAlignment w:val="auto"/>
        <w:rPr>
          <w:rFonts w:hint="eastAsia"/>
          <w:lang w:eastAsia="zh-CN"/>
        </w:rPr>
      </w:pPr>
      <w:r>
        <w:rPr>
          <w:rFonts w:hint="eastAsia" w:ascii="Times New Roman" w:hAnsi="Times New Roman" w:eastAsia="方正仿宋_GBK" w:cs="Times New Roman"/>
          <w:sz w:val="28"/>
          <w:szCs w:val="24"/>
          <w:lang w:val="en-US" w:eastAsia="zh-CN" w:bidi="ar-SA"/>
        </w:rPr>
        <w:t>5.打基础，加强团的领导机关自身建设。提升收文效率。按照办文办事“零差错”的要求，规范公文处理程序，注重工作时效，</w:t>
      </w:r>
      <w:r>
        <w:rPr>
          <w:rFonts w:hint="eastAsia" w:ascii="Times New Roman" w:hAnsi="Times New Roman" w:eastAsia="方正仿宋_GBK" w:cs="Times New Roman"/>
          <w:sz w:val="28"/>
          <w:szCs w:val="24"/>
          <w:lang w:val="en" w:eastAsia="zh-CN" w:bidi="ar-SA"/>
        </w:rPr>
        <w:t>无特殊情况，收到文件后</w:t>
      </w:r>
      <w:r>
        <w:rPr>
          <w:rFonts w:hint="eastAsia" w:ascii="Times New Roman" w:hAnsi="Times New Roman" w:eastAsia="方正仿宋_GBK" w:cs="Times New Roman"/>
          <w:sz w:val="28"/>
          <w:szCs w:val="24"/>
          <w:lang w:val="en-US" w:eastAsia="zh-CN" w:bidi="ar-SA"/>
        </w:rPr>
        <w:t>48小时</w:t>
      </w:r>
      <w:r>
        <w:rPr>
          <w:rFonts w:hint="eastAsia" w:ascii="Times New Roman" w:hAnsi="Times New Roman" w:eastAsia="方正仿宋_GBK" w:cs="Times New Roman"/>
          <w:sz w:val="28"/>
          <w:szCs w:val="24"/>
          <w:lang w:val="en" w:eastAsia="zh-CN" w:bidi="ar-SA"/>
        </w:rPr>
        <w:t>内完成流转，会议通知及时传达到位，</w:t>
      </w:r>
      <w:r>
        <w:rPr>
          <w:rFonts w:hint="eastAsia" w:ascii="Times New Roman" w:hAnsi="Times New Roman" w:eastAsia="方正仿宋_GBK" w:cs="Times New Roman"/>
          <w:sz w:val="28"/>
          <w:szCs w:val="24"/>
          <w:lang w:val="en-US" w:eastAsia="zh-CN" w:bidi="ar-SA"/>
        </w:rPr>
        <w:t>对不符合规范的文件以及未按程序操作的请示件严格实行退文处理。增强督查督办力度。督查是检验各项决策能否落实的关键环节，今后将根据新情况、新问题，结合工作实际，加大督查力量，增强对团省委、市委、市政府的重大决策、重点工作、重要事项，各类领导批示件以及建议提案督查的实效性和精准度。优化机关后勤服务。协调、承办团市委机关日常事务，负责全团性大型会议、重大活动的领导接待任务，高效完成青年发展型城市专班所有的会务性工作。强化机关保密工作。聚焦机关办文办会办事工作中的重点保密环节，切实从思想上制度上行动上帮助党员干部树立敌情意识、风险意识和责任意识，筑牢反窃密、防泄密防线，时刻做到警钟长鸣。</w:t>
      </w:r>
    </w:p>
    <w:p>
      <w:pPr>
        <w:spacing w:line="500" w:lineRule="exact"/>
        <w:rPr>
          <w:rFonts w:eastAsia="方正仿宋_GBK"/>
          <w:color w:val="000000"/>
          <w:sz w:val="28"/>
          <w:highlight w:val="none"/>
        </w:rPr>
      </w:pPr>
    </w:p>
    <w:p>
      <w:pPr>
        <w:numPr>
          <w:ilvl w:val="0"/>
          <w:numId w:val="1"/>
        </w:numPr>
        <w:spacing w:before="10" w:after="10" w:line="360" w:lineRule="auto"/>
        <w:ind w:firstLine="640"/>
        <w:outlineLvl w:val="2"/>
        <w:rPr>
          <w:rFonts w:ascii="黑体" w:hAnsi="黑体" w:eastAsia="黑体" w:cs="黑体"/>
          <w:color w:val="000000"/>
          <w:sz w:val="32"/>
          <w:highlight w:val="none"/>
        </w:rPr>
      </w:pPr>
      <w:bookmarkStart w:id="14" w:name="_Toc_3_3_0000000015"/>
      <w:r>
        <w:rPr>
          <w:rFonts w:ascii="黑体" w:hAnsi="黑体" w:eastAsia="黑体" w:cs="黑体"/>
          <w:color w:val="000000"/>
          <w:sz w:val="32"/>
          <w:highlight w:val="none"/>
        </w:rPr>
        <w:t>部门主管专项资金预算安排情况及绩效目标</w:t>
      </w:r>
      <w:bookmarkEnd w:id="14"/>
    </w:p>
    <w:p>
      <w:pPr>
        <w:numPr>
          <w:ilvl w:val="0"/>
          <w:numId w:val="0"/>
        </w:numPr>
        <w:spacing w:before="10" w:after="10" w:line="360" w:lineRule="auto"/>
        <w:ind w:firstLine="560" w:firstLineChars="200"/>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2024年基本支出896.58万元，其中人员经费835.25万元，日常公用经费61.33万元；项目支出517.71万元。保障单位工作正常开展。</w:t>
      </w:r>
    </w:p>
    <w:p>
      <w:pPr>
        <w:numPr>
          <w:ilvl w:val="0"/>
          <w:numId w:val="0"/>
        </w:numPr>
        <w:spacing w:before="10" w:after="10" w:line="360" w:lineRule="auto"/>
        <w:outlineLvl w:val="2"/>
        <w:rPr>
          <w:rFonts w:ascii="黑体" w:hAnsi="黑体" w:eastAsia="黑体" w:cs="黑体"/>
          <w:color w:val="000000"/>
          <w:sz w:val="32"/>
          <w:highlight w:val="yellow"/>
        </w:rPr>
      </w:pPr>
    </w:p>
    <w:p>
      <w:pPr>
        <w:numPr>
          <w:ilvl w:val="0"/>
          <w:numId w:val="0"/>
        </w:numPr>
        <w:spacing w:before="10" w:after="10" w:line="360" w:lineRule="auto"/>
        <w:outlineLvl w:val="2"/>
        <w:rPr>
          <w:rFonts w:hint="default" w:ascii="黑体" w:hAnsi="黑体" w:eastAsia="黑体" w:cs="黑体"/>
          <w:color w:val="000000"/>
          <w:sz w:val="32"/>
          <w:highlight w:val="yellow"/>
          <w:lang w:val="en-US" w:eastAsia="zh-CN"/>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1、党团队组织意识衔接教育经费绩效目标表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13020024P00684113239U</w:t>
            </w:r>
          </w:p>
        </w:tc>
        <w:tc>
          <w:tcPr>
            <w:tcW w:w="2835" w:type="dxa"/>
            <w:vAlign w:val="center"/>
          </w:tcPr>
          <w:p>
            <w:pPr>
              <w:pStyle w:val="12"/>
            </w:pPr>
            <w:r>
              <w:t>项目名称</w:t>
            </w:r>
          </w:p>
        </w:tc>
        <w:tc>
          <w:tcPr>
            <w:tcW w:w="6094" w:type="dxa"/>
            <w:gridSpan w:val="3"/>
            <w:vAlign w:val="center"/>
          </w:tcPr>
          <w:p>
            <w:pPr>
              <w:pStyle w:val="14"/>
            </w:pPr>
            <w:r>
              <w:t>党团队组织意识衔接教育经费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5.90</w:t>
            </w:r>
          </w:p>
        </w:tc>
        <w:tc>
          <w:tcPr>
            <w:tcW w:w="2835" w:type="dxa"/>
            <w:vAlign w:val="center"/>
          </w:tcPr>
          <w:p>
            <w:pPr>
              <w:pStyle w:val="12"/>
            </w:pPr>
            <w:r>
              <w:t>其中：财政    资金</w:t>
            </w:r>
          </w:p>
        </w:tc>
        <w:tc>
          <w:tcPr>
            <w:tcW w:w="2551" w:type="dxa"/>
            <w:vAlign w:val="center"/>
          </w:tcPr>
          <w:p>
            <w:pPr>
              <w:pStyle w:val="14"/>
            </w:pPr>
            <w:r>
              <w:t>5.90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用于党团队组织意识衔接教育经费。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综合业务管理工作完成率</w:t>
            </w:r>
          </w:p>
        </w:tc>
        <w:tc>
          <w:tcPr>
            <w:tcW w:w="5386" w:type="dxa"/>
            <w:vAlign w:val="center"/>
          </w:tcPr>
          <w:p>
            <w:pPr>
              <w:pStyle w:val="14"/>
            </w:pPr>
            <w:r>
              <w:t>综合业务管理工作完成率</w:t>
            </w:r>
          </w:p>
        </w:tc>
        <w:tc>
          <w:tcPr>
            <w:tcW w:w="2268" w:type="dxa"/>
            <w:vAlign w:val="center"/>
          </w:tcPr>
          <w:p>
            <w:pPr>
              <w:pStyle w:val="14"/>
            </w:pPr>
            <w:r>
              <w:t>≥100百分比</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59000元</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100百分比</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增强影响力</w:t>
            </w:r>
          </w:p>
        </w:tc>
        <w:tc>
          <w:tcPr>
            <w:tcW w:w="5386" w:type="dxa"/>
            <w:vAlign w:val="center"/>
          </w:tcPr>
          <w:p>
            <w:pPr>
              <w:pStyle w:val="14"/>
            </w:pPr>
            <w:r>
              <w:t>增强影响力</w:t>
            </w:r>
          </w:p>
        </w:tc>
        <w:tc>
          <w:tcPr>
            <w:tcW w:w="2268" w:type="dxa"/>
            <w:vAlign w:val="center"/>
          </w:tcPr>
          <w:p>
            <w:pPr>
              <w:pStyle w:val="14"/>
            </w:pPr>
            <w:r>
              <w:t>≥100百分比</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提高党团队衔接凝聚力</w:t>
            </w:r>
          </w:p>
        </w:tc>
        <w:tc>
          <w:tcPr>
            <w:tcW w:w="5386" w:type="dxa"/>
            <w:vAlign w:val="center"/>
          </w:tcPr>
          <w:p>
            <w:pPr>
              <w:pStyle w:val="14"/>
            </w:pPr>
            <w:r>
              <w:t>提高党团队衔接凝聚力</w:t>
            </w:r>
          </w:p>
        </w:tc>
        <w:tc>
          <w:tcPr>
            <w:tcW w:w="2268" w:type="dxa"/>
            <w:vAlign w:val="center"/>
          </w:tcPr>
          <w:p>
            <w:pPr>
              <w:pStyle w:val="14"/>
            </w:pPr>
            <w:r>
              <w:t>≥100百分比</w:t>
            </w:r>
          </w:p>
        </w:tc>
        <w:tc>
          <w:tcPr>
            <w:tcW w:w="1276" w:type="dxa"/>
            <w:vAlign w:val="center"/>
          </w:tcPr>
          <w:p>
            <w:pPr>
              <w:pStyle w:val="14"/>
            </w:pPr>
            <w:r>
              <w:t>项目年初预算测算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项目年初预算测算</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2、电子设备维护费绩效目标表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13020024P00684113237L</w:t>
            </w:r>
          </w:p>
        </w:tc>
        <w:tc>
          <w:tcPr>
            <w:tcW w:w="2835" w:type="dxa"/>
            <w:vAlign w:val="center"/>
          </w:tcPr>
          <w:p>
            <w:pPr>
              <w:pStyle w:val="12"/>
            </w:pPr>
            <w:r>
              <w:t>项目名称</w:t>
            </w:r>
          </w:p>
        </w:tc>
        <w:tc>
          <w:tcPr>
            <w:tcW w:w="6094" w:type="dxa"/>
            <w:gridSpan w:val="3"/>
            <w:vAlign w:val="center"/>
          </w:tcPr>
          <w:p>
            <w:pPr>
              <w:pStyle w:val="14"/>
            </w:pPr>
            <w:r>
              <w:t>电子设备维护费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0.80</w:t>
            </w:r>
          </w:p>
        </w:tc>
        <w:tc>
          <w:tcPr>
            <w:tcW w:w="2835" w:type="dxa"/>
            <w:vAlign w:val="center"/>
          </w:tcPr>
          <w:p>
            <w:pPr>
              <w:pStyle w:val="12"/>
            </w:pPr>
            <w:r>
              <w:t>其中：财政    资金</w:t>
            </w:r>
          </w:p>
        </w:tc>
        <w:tc>
          <w:tcPr>
            <w:tcW w:w="2551" w:type="dxa"/>
            <w:vAlign w:val="center"/>
          </w:tcPr>
          <w:p>
            <w:pPr>
              <w:pStyle w:val="14"/>
            </w:pPr>
            <w:r>
              <w:t>0.80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对保密机房环境进行进一步完善。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项目成本</w:t>
            </w:r>
          </w:p>
        </w:tc>
        <w:tc>
          <w:tcPr>
            <w:tcW w:w="2268" w:type="dxa"/>
            <w:vAlign w:val="center"/>
          </w:tcPr>
          <w:p>
            <w:pPr>
              <w:pStyle w:val="14"/>
            </w:pPr>
            <w:r>
              <w:t>8000元</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5386" w:type="dxa"/>
            <w:vAlign w:val="center"/>
          </w:tcPr>
          <w:p>
            <w:pPr>
              <w:pStyle w:val="14"/>
            </w:pPr>
            <w:r>
              <w:t>综合业务管理工作完成率</w:t>
            </w:r>
          </w:p>
        </w:tc>
        <w:tc>
          <w:tcPr>
            <w:tcW w:w="2268" w:type="dxa"/>
            <w:vAlign w:val="center"/>
          </w:tcPr>
          <w:p>
            <w:pPr>
              <w:pStyle w:val="14"/>
            </w:pPr>
            <w:r>
              <w:t>100百分比</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100百分比</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100百分比</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项目效果</w:t>
            </w:r>
          </w:p>
        </w:tc>
        <w:tc>
          <w:tcPr>
            <w:tcW w:w="5386" w:type="dxa"/>
            <w:vAlign w:val="center"/>
          </w:tcPr>
          <w:p>
            <w:pPr>
              <w:pStyle w:val="14"/>
            </w:pPr>
            <w:r>
              <w:t>项目效果</w:t>
            </w:r>
          </w:p>
        </w:tc>
        <w:tc>
          <w:tcPr>
            <w:tcW w:w="2268" w:type="dxa"/>
            <w:vAlign w:val="center"/>
          </w:tcPr>
          <w:p>
            <w:pPr>
              <w:pStyle w:val="14"/>
            </w:pPr>
            <w:r>
              <w:t>提高业务保密能力</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网络安全保障</w:t>
            </w:r>
          </w:p>
        </w:tc>
        <w:tc>
          <w:tcPr>
            <w:tcW w:w="5386" w:type="dxa"/>
            <w:vAlign w:val="center"/>
          </w:tcPr>
          <w:p>
            <w:pPr>
              <w:pStyle w:val="14"/>
            </w:pPr>
            <w:r>
              <w:t>网络发生的安全事件等级</w:t>
            </w:r>
          </w:p>
        </w:tc>
        <w:tc>
          <w:tcPr>
            <w:tcW w:w="2268" w:type="dxa"/>
            <w:vAlign w:val="center"/>
          </w:tcPr>
          <w:p>
            <w:pPr>
              <w:pStyle w:val="14"/>
            </w:pPr>
            <w:r>
              <w:t>提高网络完全性</w:t>
            </w:r>
          </w:p>
        </w:tc>
        <w:tc>
          <w:tcPr>
            <w:tcW w:w="1276" w:type="dxa"/>
            <w:vAlign w:val="center"/>
          </w:tcPr>
          <w:p>
            <w:pPr>
              <w:pStyle w:val="14"/>
            </w:pPr>
            <w:r>
              <w:t>电子设备维护费测算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电子设备维护费测算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3、红领巾奖章争章活动绩效目标表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13020024P00684113241T</w:t>
            </w:r>
          </w:p>
        </w:tc>
        <w:tc>
          <w:tcPr>
            <w:tcW w:w="2835" w:type="dxa"/>
            <w:vAlign w:val="center"/>
          </w:tcPr>
          <w:p>
            <w:pPr>
              <w:pStyle w:val="12"/>
            </w:pPr>
            <w:r>
              <w:t>项目名称</w:t>
            </w:r>
          </w:p>
        </w:tc>
        <w:tc>
          <w:tcPr>
            <w:tcW w:w="6094" w:type="dxa"/>
            <w:gridSpan w:val="3"/>
            <w:vAlign w:val="center"/>
          </w:tcPr>
          <w:p>
            <w:pPr>
              <w:pStyle w:val="14"/>
            </w:pPr>
            <w:r>
              <w:t>红领巾奖章争章活动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1.45</w:t>
            </w:r>
          </w:p>
        </w:tc>
        <w:tc>
          <w:tcPr>
            <w:tcW w:w="2835" w:type="dxa"/>
            <w:vAlign w:val="center"/>
          </w:tcPr>
          <w:p>
            <w:pPr>
              <w:pStyle w:val="12"/>
            </w:pPr>
            <w:r>
              <w:t>其中：财政    资金</w:t>
            </w:r>
          </w:p>
        </w:tc>
        <w:tc>
          <w:tcPr>
            <w:tcW w:w="2551" w:type="dxa"/>
            <w:vAlign w:val="center"/>
          </w:tcPr>
          <w:p>
            <w:pPr>
              <w:pStyle w:val="14"/>
            </w:pPr>
            <w:r>
              <w:t>1.45</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开展红领巾奖章争章活动。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93"/>
        <w:gridCol w:w="2033"/>
        <w:gridCol w:w="1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193" w:type="dxa"/>
            <w:vAlign w:val="center"/>
          </w:tcPr>
          <w:p>
            <w:pPr>
              <w:pStyle w:val="12"/>
            </w:pPr>
            <w:r>
              <w:t>绩效指标描述</w:t>
            </w:r>
          </w:p>
        </w:tc>
        <w:tc>
          <w:tcPr>
            <w:tcW w:w="2033" w:type="dxa"/>
            <w:vAlign w:val="center"/>
          </w:tcPr>
          <w:p>
            <w:pPr>
              <w:pStyle w:val="12"/>
            </w:pPr>
            <w:r>
              <w:t>指标值</w:t>
            </w:r>
          </w:p>
        </w:tc>
        <w:tc>
          <w:tcPr>
            <w:tcW w:w="1704"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项目按时完成率</w:t>
            </w:r>
          </w:p>
        </w:tc>
        <w:tc>
          <w:tcPr>
            <w:tcW w:w="5193" w:type="dxa"/>
            <w:vAlign w:val="center"/>
          </w:tcPr>
          <w:p>
            <w:pPr>
              <w:pStyle w:val="14"/>
            </w:pPr>
            <w:r>
              <w:t>项目按时完成率</w:t>
            </w:r>
          </w:p>
        </w:tc>
        <w:tc>
          <w:tcPr>
            <w:tcW w:w="2033" w:type="dxa"/>
            <w:vAlign w:val="center"/>
          </w:tcPr>
          <w:p>
            <w:pPr>
              <w:pStyle w:val="14"/>
            </w:pPr>
            <w:r>
              <w:t>100百分比</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193" w:type="dxa"/>
            <w:vAlign w:val="center"/>
          </w:tcPr>
          <w:p>
            <w:pPr>
              <w:pStyle w:val="14"/>
            </w:pPr>
            <w:r>
              <w:t>项目总预算控制额</w:t>
            </w:r>
          </w:p>
        </w:tc>
        <w:tc>
          <w:tcPr>
            <w:tcW w:w="2033" w:type="dxa"/>
            <w:vAlign w:val="center"/>
          </w:tcPr>
          <w:p>
            <w:pPr>
              <w:pStyle w:val="14"/>
            </w:pPr>
            <w:r>
              <w:t>14500元</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5193" w:type="dxa"/>
            <w:vAlign w:val="center"/>
          </w:tcPr>
          <w:p>
            <w:pPr>
              <w:pStyle w:val="14"/>
            </w:pPr>
            <w:r>
              <w:t>完成率</w:t>
            </w:r>
          </w:p>
        </w:tc>
        <w:tc>
          <w:tcPr>
            <w:tcW w:w="2033" w:type="dxa"/>
            <w:vAlign w:val="center"/>
          </w:tcPr>
          <w:p>
            <w:pPr>
              <w:pStyle w:val="14"/>
            </w:pPr>
            <w:r>
              <w:t>100百分比</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193" w:type="dxa"/>
            <w:vAlign w:val="center"/>
          </w:tcPr>
          <w:p>
            <w:pPr>
              <w:pStyle w:val="14"/>
            </w:pPr>
            <w:r>
              <w:t>专款专用率</w:t>
            </w:r>
          </w:p>
        </w:tc>
        <w:tc>
          <w:tcPr>
            <w:tcW w:w="2033" w:type="dxa"/>
            <w:vAlign w:val="center"/>
          </w:tcPr>
          <w:p>
            <w:pPr>
              <w:pStyle w:val="14"/>
            </w:pPr>
            <w:r>
              <w:t>100百分比</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激励效果</w:t>
            </w:r>
          </w:p>
        </w:tc>
        <w:tc>
          <w:tcPr>
            <w:tcW w:w="5193" w:type="dxa"/>
            <w:vAlign w:val="center"/>
          </w:tcPr>
          <w:p>
            <w:pPr>
              <w:pStyle w:val="14"/>
            </w:pPr>
            <w:r>
              <w:t>激励效果</w:t>
            </w:r>
          </w:p>
        </w:tc>
        <w:tc>
          <w:tcPr>
            <w:tcW w:w="2033" w:type="dxa"/>
            <w:vAlign w:val="center"/>
          </w:tcPr>
          <w:p>
            <w:pPr>
              <w:pStyle w:val="14"/>
            </w:pPr>
            <w:r>
              <w:t>≥100百分比</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5193" w:type="dxa"/>
            <w:vAlign w:val="center"/>
          </w:tcPr>
          <w:p>
            <w:pPr>
              <w:pStyle w:val="14"/>
            </w:pPr>
            <w:r>
              <w:t>示范带动作用</w:t>
            </w:r>
          </w:p>
        </w:tc>
        <w:tc>
          <w:tcPr>
            <w:tcW w:w="2033" w:type="dxa"/>
            <w:vAlign w:val="center"/>
          </w:tcPr>
          <w:p>
            <w:pPr>
              <w:pStyle w:val="14"/>
            </w:pPr>
            <w:r>
              <w:t>增进少先队员荣誉感</w:t>
            </w:r>
          </w:p>
        </w:tc>
        <w:tc>
          <w:tcPr>
            <w:tcW w:w="1704" w:type="dxa"/>
            <w:vAlign w:val="center"/>
          </w:tcPr>
          <w:p>
            <w:pPr>
              <w:pStyle w:val="14"/>
            </w:pPr>
            <w:r>
              <w:t>红领巾奖章争章活动测算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193" w:type="dxa"/>
            <w:vAlign w:val="center"/>
          </w:tcPr>
          <w:p>
            <w:pPr>
              <w:pStyle w:val="14"/>
            </w:pPr>
            <w:r>
              <w:t>服务对象满意度</w:t>
            </w:r>
          </w:p>
        </w:tc>
        <w:tc>
          <w:tcPr>
            <w:tcW w:w="2033" w:type="dxa"/>
            <w:vAlign w:val="center"/>
          </w:tcPr>
          <w:p>
            <w:pPr>
              <w:pStyle w:val="14"/>
            </w:pPr>
            <w:r>
              <w:t>≥100百分比</w:t>
            </w:r>
          </w:p>
        </w:tc>
        <w:tc>
          <w:tcPr>
            <w:tcW w:w="1704" w:type="dxa"/>
            <w:vAlign w:val="center"/>
          </w:tcPr>
          <w:p>
            <w:pPr>
              <w:pStyle w:val="14"/>
            </w:pPr>
            <w:r>
              <w:t>红领巾奖章争章活动测算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4、基层组织与基层建设专项调研绩效目标表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13020024P00682710128D</w:t>
            </w:r>
          </w:p>
        </w:tc>
        <w:tc>
          <w:tcPr>
            <w:tcW w:w="2835" w:type="dxa"/>
            <w:vAlign w:val="center"/>
          </w:tcPr>
          <w:p>
            <w:pPr>
              <w:pStyle w:val="12"/>
            </w:pPr>
            <w:r>
              <w:t>项目名称</w:t>
            </w:r>
          </w:p>
        </w:tc>
        <w:tc>
          <w:tcPr>
            <w:tcW w:w="6094" w:type="dxa"/>
            <w:gridSpan w:val="3"/>
            <w:vAlign w:val="center"/>
          </w:tcPr>
          <w:p>
            <w:pPr>
              <w:pStyle w:val="14"/>
            </w:pPr>
            <w:r>
              <w:t>基层组织与基层建设专项调研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3.08</w:t>
            </w:r>
          </w:p>
        </w:tc>
        <w:tc>
          <w:tcPr>
            <w:tcW w:w="2835" w:type="dxa"/>
            <w:vAlign w:val="center"/>
          </w:tcPr>
          <w:p>
            <w:pPr>
              <w:pStyle w:val="12"/>
            </w:pPr>
            <w:r>
              <w:t>其中：财政    资金</w:t>
            </w:r>
          </w:p>
        </w:tc>
        <w:tc>
          <w:tcPr>
            <w:tcW w:w="2551" w:type="dxa"/>
            <w:vAlign w:val="center"/>
          </w:tcPr>
          <w:p>
            <w:pPr>
              <w:pStyle w:val="14"/>
            </w:pPr>
            <w:r>
              <w:t>3.08</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拟针对基层组织与建设开展调研。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1.做好业务调研工作，保障单位业务开展。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5386" w:type="dxa"/>
            <w:vAlign w:val="center"/>
          </w:tcPr>
          <w:p>
            <w:pPr>
              <w:pStyle w:val="14"/>
            </w:pPr>
            <w:r>
              <w:t>印刷执行率</w:t>
            </w:r>
          </w:p>
        </w:tc>
        <w:tc>
          <w:tcPr>
            <w:tcW w:w="2268" w:type="dxa"/>
            <w:vAlign w:val="center"/>
          </w:tcPr>
          <w:p>
            <w:pPr>
              <w:pStyle w:val="14"/>
            </w:pPr>
            <w:r>
              <w:t>100百分比</w:t>
            </w:r>
          </w:p>
        </w:tc>
        <w:tc>
          <w:tcPr>
            <w:tcW w:w="1276" w:type="dxa"/>
            <w:vAlign w:val="center"/>
          </w:tcPr>
          <w:p>
            <w:pPr>
              <w:pStyle w:val="14"/>
            </w:pPr>
            <w:r>
              <w:t>基层组织与基层建设专项调研测算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调研合格率</w:t>
            </w:r>
          </w:p>
        </w:tc>
        <w:tc>
          <w:tcPr>
            <w:tcW w:w="5386" w:type="dxa"/>
            <w:vAlign w:val="center"/>
          </w:tcPr>
          <w:p>
            <w:pPr>
              <w:pStyle w:val="14"/>
            </w:pPr>
            <w:r>
              <w:t>调研合格率</w:t>
            </w:r>
          </w:p>
        </w:tc>
        <w:tc>
          <w:tcPr>
            <w:tcW w:w="2268" w:type="dxa"/>
            <w:vAlign w:val="center"/>
          </w:tcPr>
          <w:p>
            <w:pPr>
              <w:pStyle w:val="14"/>
            </w:pPr>
            <w:r>
              <w:t>100百分比</w:t>
            </w:r>
          </w:p>
        </w:tc>
        <w:tc>
          <w:tcPr>
            <w:tcW w:w="1276" w:type="dxa"/>
            <w:vAlign w:val="center"/>
          </w:tcPr>
          <w:p>
            <w:pPr>
              <w:pStyle w:val="14"/>
            </w:pPr>
            <w:r>
              <w:t>基层组织与基层建设专项调研测算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基层组织与基层建设专项调研测算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调研完成时限</w:t>
            </w:r>
          </w:p>
        </w:tc>
        <w:tc>
          <w:tcPr>
            <w:tcW w:w="5386" w:type="dxa"/>
            <w:vAlign w:val="center"/>
          </w:tcPr>
          <w:p>
            <w:pPr>
              <w:pStyle w:val="14"/>
            </w:pPr>
            <w:r>
              <w:t>调研完成时限</w:t>
            </w:r>
          </w:p>
        </w:tc>
        <w:tc>
          <w:tcPr>
            <w:tcW w:w="2268" w:type="dxa"/>
            <w:vAlign w:val="center"/>
          </w:tcPr>
          <w:p>
            <w:pPr>
              <w:pStyle w:val="14"/>
            </w:pPr>
            <w:r>
              <w:t>2024年12月31日</w:t>
            </w:r>
          </w:p>
        </w:tc>
        <w:tc>
          <w:tcPr>
            <w:tcW w:w="1276" w:type="dxa"/>
            <w:vAlign w:val="center"/>
          </w:tcPr>
          <w:p>
            <w:pPr>
              <w:pStyle w:val="14"/>
            </w:pPr>
            <w:r>
              <w:t>基层组织与基层建设专项调研测算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意见建议采纳率</w:t>
            </w:r>
          </w:p>
        </w:tc>
        <w:tc>
          <w:tcPr>
            <w:tcW w:w="5386" w:type="dxa"/>
            <w:vAlign w:val="center"/>
          </w:tcPr>
          <w:p>
            <w:pPr>
              <w:pStyle w:val="14"/>
            </w:pPr>
            <w:r>
              <w:t>被采纳的意见建议数量占总数量的比率</w:t>
            </w:r>
          </w:p>
        </w:tc>
        <w:tc>
          <w:tcPr>
            <w:tcW w:w="2268" w:type="dxa"/>
            <w:vAlign w:val="center"/>
          </w:tcPr>
          <w:p>
            <w:pPr>
              <w:pStyle w:val="14"/>
            </w:pPr>
            <w:r>
              <w:t>≥90百分比</w:t>
            </w:r>
          </w:p>
        </w:tc>
        <w:tc>
          <w:tcPr>
            <w:tcW w:w="1276" w:type="dxa"/>
            <w:vAlign w:val="center"/>
          </w:tcPr>
          <w:p>
            <w:pPr>
              <w:pStyle w:val="14"/>
            </w:pPr>
            <w:r>
              <w:t>基层组织与基层建设专项调研测算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基层组织与基层建设专项调研测算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5、纪念五四活动经费绩效目标表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13020024P00684113242E</w:t>
            </w:r>
          </w:p>
        </w:tc>
        <w:tc>
          <w:tcPr>
            <w:tcW w:w="2835" w:type="dxa"/>
            <w:vAlign w:val="center"/>
          </w:tcPr>
          <w:p>
            <w:pPr>
              <w:pStyle w:val="12"/>
            </w:pPr>
            <w:r>
              <w:t>项目名称</w:t>
            </w:r>
          </w:p>
        </w:tc>
        <w:tc>
          <w:tcPr>
            <w:tcW w:w="6094" w:type="dxa"/>
            <w:gridSpan w:val="3"/>
            <w:vAlign w:val="center"/>
          </w:tcPr>
          <w:p>
            <w:pPr>
              <w:pStyle w:val="14"/>
            </w:pPr>
            <w:r>
              <w:t>纪念五四活动经费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拟组织全市各界青年代表共计约100人共同纪念五四运动。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活动人数</w:t>
            </w:r>
          </w:p>
        </w:tc>
        <w:tc>
          <w:tcPr>
            <w:tcW w:w="5386" w:type="dxa"/>
            <w:vAlign w:val="center"/>
          </w:tcPr>
          <w:p>
            <w:pPr>
              <w:pStyle w:val="14"/>
            </w:pPr>
            <w:r>
              <w:t>活动人数</w:t>
            </w:r>
          </w:p>
        </w:tc>
        <w:tc>
          <w:tcPr>
            <w:tcW w:w="2268" w:type="dxa"/>
            <w:vAlign w:val="center"/>
          </w:tcPr>
          <w:p>
            <w:pPr>
              <w:pStyle w:val="14"/>
            </w:pPr>
            <w:r>
              <w:t>100人</w:t>
            </w:r>
          </w:p>
        </w:tc>
        <w:tc>
          <w:tcPr>
            <w:tcW w:w="1276" w:type="dxa"/>
            <w:vAlign w:val="center"/>
          </w:tcPr>
          <w:p>
            <w:pPr>
              <w:pStyle w:val="14"/>
            </w:pPr>
            <w:r>
              <w:t>纪念五四活动经费测算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完成工作任务及时性</w:t>
            </w:r>
          </w:p>
        </w:tc>
        <w:tc>
          <w:tcPr>
            <w:tcW w:w="5386" w:type="dxa"/>
            <w:vAlign w:val="center"/>
          </w:tcPr>
          <w:p>
            <w:pPr>
              <w:pStyle w:val="14"/>
            </w:pPr>
            <w:r>
              <w:t>完成工作任务及时性</w:t>
            </w:r>
          </w:p>
        </w:tc>
        <w:tc>
          <w:tcPr>
            <w:tcW w:w="2268" w:type="dxa"/>
            <w:vAlign w:val="center"/>
          </w:tcPr>
          <w:p>
            <w:pPr>
              <w:pStyle w:val="14"/>
            </w:pPr>
            <w:r>
              <w:t>100百分比</w:t>
            </w:r>
          </w:p>
        </w:tc>
        <w:tc>
          <w:tcPr>
            <w:tcW w:w="1276" w:type="dxa"/>
            <w:vAlign w:val="center"/>
          </w:tcPr>
          <w:p>
            <w:pPr>
              <w:pStyle w:val="14"/>
            </w:pPr>
            <w:r>
              <w:t>纪念五四活动经费测算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50000元</w:t>
            </w:r>
          </w:p>
        </w:tc>
        <w:tc>
          <w:tcPr>
            <w:tcW w:w="1276" w:type="dxa"/>
            <w:vAlign w:val="center"/>
          </w:tcPr>
          <w:p>
            <w:pPr>
              <w:pStyle w:val="14"/>
            </w:pPr>
            <w:r>
              <w:t>纪念五四活动经费测算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5386" w:type="dxa"/>
            <w:vAlign w:val="center"/>
          </w:tcPr>
          <w:p>
            <w:pPr>
              <w:pStyle w:val="14"/>
            </w:pPr>
            <w:r>
              <w:t>印刷合格率</w:t>
            </w:r>
          </w:p>
        </w:tc>
        <w:tc>
          <w:tcPr>
            <w:tcW w:w="2268" w:type="dxa"/>
            <w:vAlign w:val="center"/>
          </w:tcPr>
          <w:p>
            <w:pPr>
              <w:pStyle w:val="14"/>
            </w:pPr>
            <w:r>
              <w:t>100百分比</w:t>
            </w:r>
          </w:p>
        </w:tc>
        <w:tc>
          <w:tcPr>
            <w:tcW w:w="1276" w:type="dxa"/>
            <w:vAlign w:val="center"/>
          </w:tcPr>
          <w:p>
            <w:pPr>
              <w:pStyle w:val="14"/>
            </w:pPr>
            <w:r>
              <w:t>纪念五四活动经费测算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传承中华文化</w:t>
            </w:r>
          </w:p>
        </w:tc>
        <w:tc>
          <w:tcPr>
            <w:tcW w:w="5386" w:type="dxa"/>
            <w:vAlign w:val="center"/>
          </w:tcPr>
          <w:p>
            <w:pPr>
              <w:pStyle w:val="14"/>
            </w:pPr>
            <w:r>
              <w:t>传承中华文化</w:t>
            </w:r>
          </w:p>
        </w:tc>
        <w:tc>
          <w:tcPr>
            <w:tcW w:w="2268" w:type="dxa"/>
            <w:vAlign w:val="center"/>
          </w:tcPr>
          <w:p>
            <w:pPr>
              <w:pStyle w:val="14"/>
            </w:pPr>
            <w:r>
              <w:t>弘扬五四精神，传承优秀文化</w:t>
            </w:r>
          </w:p>
        </w:tc>
        <w:tc>
          <w:tcPr>
            <w:tcW w:w="1276" w:type="dxa"/>
            <w:vAlign w:val="center"/>
          </w:tcPr>
          <w:p>
            <w:pPr>
              <w:pStyle w:val="14"/>
            </w:pPr>
            <w:r>
              <w:t>纪念五四活动经费测算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纪念五四活动经费测算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13020024P00684113185F</w:t>
            </w:r>
          </w:p>
        </w:tc>
        <w:tc>
          <w:tcPr>
            <w:tcW w:w="2835" w:type="dxa"/>
            <w:vAlign w:val="center"/>
          </w:tcPr>
          <w:p>
            <w:pPr>
              <w:pStyle w:val="12"/>
            </w:pPr>
            <w:r>
              <w:t>项目名称</w:t>
            </w:r>
          </w:p>
        </w:tc>
        <w:tc>
          <w:tcPr>
            <w:tcW w:w="6094" w:type="dxa"/>
            <w:gridSpan w:val="3"/>
            <w:vAlign w:val="center"/>
          </w:tcPr>
          <w:p>
            <w:pPr>
              <w:pStyle w:val="14"/>
            </w:pPr>
            <w:r>
              <w:t>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w:t>
            </w:r>
          </w:p>
        </w:tc>
        <w:tc>
          <w:tcPr>
            <w:tcW w:w="2835" w:type="dxa"/>
            <w:vAlign w:val="center"/>
          </w:tcPr>
          <w:p>
            <w:pPr>
              <w:pStyle w:val="12"/>
            </w:pPr>
            <w:r>
              <w:t>其中：财政    资金</w:t>
            </w:r>
          </w:p>
        </w:tc>
        <w:tc>
          <w:tcPr>
            <w:tcW w:w="2551" w:type="dxa"/>
            <w:vAlign w:val="center"/>
          </w:tcPr>
          <w:p>
            <w:pPr>
              <w:pStyle w:val="14"/>
            </w:pPr>
            <w:r>
              <w:t>2.50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用于机关租赁车辆使用。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车辆编制</w:t>
            </w:r>
          </w:p>
        </w:tc>
        <w:tc>
          <w:tcPr>
            <w:tcW w:w="5386" w:type="dxa"/>
            <w:vAlign w:val="center"/>
          </w:tcPr>
          <w:p>
            <w:pPr>
              <w:pStyle w:val="14"/>
            </w:pPr>
            <w:r>
              <w:t>车辆编制数</w:t>
            </w:r>
          </w:p>
        </w:tc>
        <w:tc>
          <w:tcPr>
            <w:tcW w:w="2268" w:type="dxa"/>
            <w:vAlign w:val="center"/>
          </w:tcPr>
          <w:p>
            <w:pPr>
              <w:pStyle w:val="14"/>
            </w:pPr>
            <w:r>
              <w:t>1辆</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5386" w:type="dxa"/>
            <w:vAlign w:val="center"/>
          </w:tcPr>
          <w:p>
            <w:pPr>
              <w:pStyle w:val="14"/>
            </w:pPr>
            <w:r>
              <w:t>资金需求</w:t>
            </w:r>
          </w:p>
        </w:tc>
        <w:tc>
          <w:tcPr>
            <w:tcW w:w="2268" w:type="dxa"/>
            <w:vAlign w:val="center"/>
          </w:tcPr>
          <w:p>
            <w:pPr>
              <w:pStyle w:val="14"/>
            </w:pPr>
            <w:r>
              <w:t>25000元</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项目按时完成率</w:t>
            </w:r>
          </w:p>
        </w:tc>
        <w:tc>
          <w:tcPr>
            <w:tcW w:w="5386" w:type="dxa"/>
            <w:vAlign w:val="center"/>
          </w:tcPr>
          <w:p>
            <w:pPr>
              <w:pStyle w:val="14"/>
            </w:pPr>
            <w:r>
              <w:t>项目按时完成率</w:t>
            </w:r>
          </w:p>
        </w:tc>
        <w:tc>
          <w:tcPr>
            <w:tcW w:w="2268" w:type="dxa"/>
            <w:vAlign w:val="center"/>
          </w:tcPr>
          <w:p>
            <w:pPr>
              <w:pStyle w:val="14"/>
            </w:pPr>
            <w:r>
              <w:t>≥100百分比</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100百分比</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5386" w:type="dxa"/>
            <w:vAlign w:val="center"/>
          </w:tcPr>
          <w:p>
            <w:pPr>
              <w:pStyle w:val="14"/>
            </w:pPr>
            <w:r>
              <w:t>成本节约</w:t>
            </w:r>
          </w:p>
        </w:tc>
        <w:tc>
          <w:tcPr>
            <w:tcW w:w="2268" w:type="dxa"/>
            <w:vAlign w:val="center"/>
          </w:tcPr>
          <w:p>
            <w:pPr>
              <w:pStyle w:val="14"/>
            </w:pPr>
            <w:r>
              <w:t>≥50百分比</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工作水平</w:t>
            </w:r>
          </w:p>
        </w:tc>
        <w:tc>
          <w:tcPr>
            <w:tcW w:w="5386" w:type="dxa"/>
            <w:vAlign w:val="center"/>
          </w:tcPr>
          <w:p>
            <w:pPr>
              <w:pStyle w:val="14"/>
            </w:pPr>
            <w:r>
              <w:t>提高工作效率</w:t>
            </w:r>
          </w:p>
        </w:tc>
        <w:tc>
          <w:tcPr>
            <w:tcW w:w="2268" w:type="dxa"/>
            <w:vAlign w:val="center"/>
          </w:tcPr>
          <w:p>
            <w:pPr>
              <w:pStyle w:val="14"/>
            </w:pPr>
            <w:r>
              <w:t>≥90百分比</w:t>
            </w:r>
          </w:p>
        </w:tc>
        <w:tc>
          <w:tcPr>
            <w:tcW w:w="1276" w:type="dxa"/>
            <w:vAlign w:val="center"/>
          </w:tcPr>
          <w:p>
            <w:pPr>
              <w:pStyle w:val="14"/>
            </w:pPr>
            <w:r>
              <w:t>依据编制数测算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依据编制数测算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7、青年发展规划专项绩效目标表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13020024P00684113244M</w:t>
            </w:r>
          </w:p>
        </w:tc>
        <w:tc>
          <w:tcPr>
            <w:tcW w:w="2835" w:type="dxa"/>
            <w:vAlign w:val="center"/>
          </w:tcPr>
          <w:p>
            <w:pPr>
              <w:pStyle w:val="12"/>
            </w:pPr>
            <w:r>
              <w:t>项目名称</w:t>
            </w:r>
          </w:p>
        </w:tc>
        <w:tc>
          <w:tcPr>
            <w:tcW w:w="6094" w:type="dxa"/>
            <w:gridSpan w:val="3"/>
            <w:vAlign w:val="center"/>
          </w:tcPr>
          <w:p>
            <w:pPr>
              <w:pStyle w:val="14"/>
            </w:pPr>
            <w:r>
              <w:t>青年发展规划专项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青年发展规划相关工作。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项目完成时间</w:t>
            </w:r>
          </w:p>
        </w:tc>
        <w:tc>
          <w:tcPr>
            <w:tcW w:w="5386" w:type="dxa"/>
            <w:vAlign w:val="center"/>
          </w:tcPr>
          <w:p>
            <w:pPr>
              <w:pStyle w:val="14"/>
            </w:pPr>
            <w:r>
              <w:t>项目完成时间</w:t>
            </w:r>
          </w:p>
        </w:tc>
        <w:tc>
          <w:tcPr>
            <w:tcW w:w="2268" w:type="dxa"/>
            <w:vAlign w:val="center"/>
          </w:tcPr>
          <w:p>
            <w:pPr>
              <w:pStyle w:val="14"/>
            </w:pPr>
            <w:r>
              <w:t>2024年12月31日</w:t>
            </w:r>
          </w:p>
        </w:tc>
        <w:tc>
          <w:tcPr>
            <w:tcW w:w="1276" w:type="dxa"/>
            <w:vAlign w:val="center"/>
          </w:tcPr>
          <w:p>
            <w:pPr>
              <w:pStyle w:val="14"/>
            </w:pPr>
            <w:r>
              <w:t>青年发展规划专项测算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40000元</w:t>
            </w:r>
          </w:p>
        </w:tc>
        <w:tc>
          <w:tcPr>
            <w:tcW w:w="1276" w:type="dxa"/>
            <w:vAlign w:val="center"/>
          </w:tcPr>
          <w:p>
            <w:pPr>
              <w:pStyle w:val="14"/>
            </w:pPr>
            <w:r>
              <w:t>青年发展规划专项测算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5386" w:type="dxa"/>
            <w:vAlign w:val="center"/>
          </w:tcPr>
          <w:p>
            <w:pPr>
              <w:pStyle w:val="14"/>
            </w:pPr>
            <w:r>
              <w:t>完成率</w:t>
            </w:r>
          </w:p>
        </w:tc>
        <w:tc>
          <w:tcPr>
            <w:tcW w:w="2268" w:type="dxa"/>
            <w:vAlign w:val="center"/>
          </w:tcPr>
          <w:p>
            <w:pPr>
              <w:pStyle w:val="14"/>
            </w:pPr>
            <w:r>
              <w:t>100百分比</w:t>
            </w:r>
          </w:p>
        </w:tc>
        <w:tc>
          <w:tcPr>
            <w:tcW w:w="1276" w:type="dxa"/>
            <w:vAlign w:val="center"/>
          </w:tcPr>
          <w:p>
            <w:pPr>
              <w:pStyle w:val="14"/>
            </w:pPr>
            <w:r>
              <w:t>青年发展规划专项测算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专款专用率</w:t>
            </w:r>
          </w:p>
        </w:tc>
        <w:tc>
          <w:tcPr>
            <w:tcW w:w="5386" w:type="dxa"/>
            <w:vAlign w:val="center"/>
          </w:tcPr>
          <w:p>
            <w:pPr>
              <w:pStyle w:val="14"/>
            </w:pPr>
            <w:r>
              <w:t>专款专用率</w:t>
            </w:r>
          </w:p>
        </w:tc>
        <w:tc>
          <w:tcPr>
            <w:tcW w:w="2268" w:type="dxa"/>
            <w:vAlign w:val="center"/>
          </w:tcPr>
          <w:p>
            <w:pPr>
              <w:pStyle w:val="14"/>
            </w:pPr>
            <w:r>
              <w:t>100百分比</w:t>
            </w:r>
          </w:p>
        </w:tc>
        <w:tc>
          <w:tcPr>
            <w:tcW w:w="1276" w:type="dxa"/>
            <w:vAlign w:val="center"/>
          </w:tcPr>
          <w:p>
            <w:pPr>
              <w:pStyle w:val="14"/>
            </w:pPr>
            <w:r>
              <w:t>青年发展规划专项测算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提供优质服务</w:t>
            </w:r>
          </w:p>
        </w:tc>
        <w:tc>
          <w:tcPr>
            <w:tcW w:w="5386" w:type="dxa"/>
            <w:vAlign w:val="center"/>
          </w:tcPr>
          <w:p>
            <w:pPr>
              <w:pStyle w:val="14"/>
            </w:pPr>
            <w:r>
              <w:t>提供优质服务</w:t>
            </w:r>
          </w:p>
        </w:tc>
        <w:tc>
          <w:tcPr>
            <w:tcW w:w="2268" w:type="dxa"/>
            <w:vAlign w:val="center"/>
          </w:tcPr>
          <w:p>
            <w:pPr>
              <w:pStyle w:val="14"/>
            </w:pPr>
            <w:r>
              <w:t>对广大青年提供理论培训、实地观摩</w:t>
            </w:r>
          </w:p>
        </w:tc>
        <w:tc>
          <w:tcPr>
            <w:tcW w:w="1276" w:type="dxa"/>
            <w:vAlign w:val="center"/>
          </w:tcPr>
          <w:p>
            <w:pPr>
              <w:pStyle w:val="14"/>
            </w:pPr>
            <w:r>
              <w:t>青年发展规划专项测算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青年发展规划专项测算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8、少先队辅导员岗位技能大赛经费绩效目标表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13020024P006841132388</w:t>
            </w:r>
          </w:p>
        </w:tc>
        <w:tc>
          <w:tcPr>
            <w:tcW w:w="2835" w:type="dxa"/>
            <w:vAlign w:val="center"/>
          </w:tcPr>
          <w:p>
            <w:pPr>
              <w:pStyle w:val="12"/>
            </w:pPr>
            <w:r>
              <w:t>项目名称</w:t>
            </w:r>
          </w:p>
        </w:tc>
        <w:tc>
          <w:tcPr>
            <w:tcW w:w="6094" w:type="dxa"/>
            <w:gridSpan w:val="3"/>
            <w:vAlign w:val="center"/>
          </w:tcPr>
          <w:p>
            <w:pPr>
              <w:pStyle w:val="14"/>
            </w:pPr>
            <w:r>
              <w:t>少先队辅导员岗位技能大赛经费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w:t>
            </w:r>
          </w:p>
        </w:tc>
        <w:tc>
          <w:tcPr>
            <w:tcW w:w="2835" w:type="dxa"/>
            <w:vAlign w:val="center"/>
          </w:tcPr>
          <w:p>
            <w:pPr>
              <w:pStyle w:val="12"/>
            </w:pPr>
            <w:r>
              <w:t>其中：财政    资金</w:t>
            </w:r>
          </w:p>
        </w:tc>
        <w:tc>
          <w:tcPr>
            <w:tcW w:w="2551" w:type="dxa"/>
            <w:vAlign w:val="center"/>
          </w:tcPr>
          <w:p>
            <w:pPr>
              <w:pStyle w:val="14"/>
            </w:pPr>
            <w:r>
              <w:t>3.50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举办唐山市2024年度少先队辅导员岗位技能大赛。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参赛人员</w:t>
            </w:r>
          </w:p>
        </w:tc>
        <w:tc>
          <w:tcPr>
            <w:tcW w:w="5386" w:type="dxa"/>
            <w:vAlign w:val="center"/>
          </w:tcPr>
          <w:p>
            <w:pPr>
              <w:pStyle w:val="14"/>
            </w:pPr>
            <w:r>
              <w:t>参赛人员数量</w:t>
            </w:r>
          </w:p>
        </w:tc>
        <w:tc>
          <w:tcPr>
            <w:tcW w:w="2268" w:type="dxa"/>
            <w:vAlign w:val="center"/>
          </w:tcPr>
          <w:p>
            <w:pPr>
              <w:pStyle w:val="14"/>
            </w:pPr>
            <w:r>
              <w:t>100人</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5386" w:type="dxa"/>
            <w:vAlign w:val="center"/>
          </w:tcPr>
          <w:p>
            <w:pPr>
              <w:pStyle w:val="14"/>
            </w:pPr>
            <w:r>
              <w:t>综合业务管理工作完成率</w:t>
            </w:r>
          </w:p>
        </w:tc>
        <w:tc>
          <w:tcPr>
            <w:tcW w:w="2268" w:type="dxa"/>
            <w:vAlign w:val="center"/>
          </w:tcPr>
          <w:p>
            <w:pPr>
              <w:pStyle w:val="14"/>
            </w:pPr>
            <w:r>
              <w:t>100百分比</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项目总预算控制额</w:t>
            </w:r>
          </w:p>
        </w:tc>
        <w:tc>
          <w:tcPr>
            <w:tcW w:w="2268" w:type="dxa"/>
            <w:vAlign w:val="center"/>
          </w:tcPr>
          <w:p>
            <w:pPr>
              <w:pStyle w:val="14"/>
            </w:pPr>
            <w:r>
              <w:t>35000元</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100百分比</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提升业务能力</w:t>
            </w:r>
          </w:p>
        </w:tc>
        <w:tc>
          <w:tcPr>
            <w:tcW w:w="5386" w:type="dxa"/>
            <w:vAlign w:val="center"/>
          </w:tcPr>
          <w:p>
            <w:pPr>
              <w:pStyle w:val="14"/>
            </w:pPr>
            <w:r>
              <w:t>提高辅导员业务能力</w:t>
            </w:r>
          </w:p>
        </w:tc>
        <w:tc>
          <w:tcPr>
            <w:tcW w:w="2268" w:type="dxa"/>
            <w:vAlign w:val="center"/>
          </w:tcPr>
          <w:p>
            <w:pPr>
              <w:pStyle w:val="14"/>
            </w:pPr>
            <w:r>
              <w:t>激励辅导员提升自身业务能力</w:t>
            </w:r>
          </w:p>
        </w:tc>
        <w:tc>
          <w:tcPr>
            <w:tcW w:w="1276" w:type="dxa"/>
            <w:vAlign w:val="center"/>
          </w:tcPr>
          <w:p>
            <w:pPr>
              <w:pStyle w:val="14"/>
            </w:pPr>
            <w:r>
              <w:t>少先队辅导员岗位技能大赛预算测算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少先队辅导员岗位技能大赛预算测算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9、团市委会议经费绩效目标表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13020024P006829102933</w:t>
            </w:r>
          </w:p>
        </w:tc>
        <w:tc>
          <w:tcPr>
            <w:tcW w:w="2835" w:type="dxa"/>
            <w:vAlign w:val="center"/>
          </w:tcPr>
          <w:p>
            <w:pPr>
              <w:pStyle w:val="12"/>
            </w:pPr>
            <w:r>
              <w:t>项目名称</w:t>
            </w:r>
          </w:p>
        </w:tc>
        <w:tc>
          <w:tcPr>
            <w:tcW w:w="6094" w:type="dxa"/>
            <w:gridSpan w:val="3"/>
            <w:vAlign w:val="center"/>
          </w:tcPr>
          <w:p>
            <w:pPr>
              <w:pStyle w:val="14"/>
            </w:pPr>
            <w:r>
              <w:t>团市委会议经费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8.53</w:t>
            </w:r>
          </w:p>
        </w:tc>
        <w:tc>
          <w:tcPr>
            <w:tcW w:w="2835" w:type="dxa"/>
            <w:vAlign w:val="center"/>
          </w:tcPr>
          <w:p>
            <w:pPr>
              <w:pStyle w:val="12"/>
            </w:pPr>
            <w:r>
              <w:t>其中：财政    资金</w:t>
            </w:r>
          </w:p>
        </w:tc>
        <w:tc>
          <w:tcPr>
            <w:tcW w:w="2551" w:type="dxa"/>
            <w:vAlign w:val="center"/>
          </w:tcPr>
          <w:p>
            <w:pPr>
              <w:pStyle w:val="14"/>
            </w:pPr>
            <w:r>
              <w:t>8.53</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拟组织预防青少年违法犯罪活动。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1.做好专项会议工作，保障单位业务开展。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会议出勤率</w:t>
            </w:r>
          </w:p>
        </w:tc>
        <w:tc>
          <w:tcPr>
            <w:tcW w:w="5386" w:type="dxa"/>
            <w:vAlign w:val="center"/>
          </w:tcPr>
          <w:p>
            <w:pPr>
              <w:pStyle w:val="14"/>
            </w:pPr>
            <w:r>
              <w:t>会议出勤率=实际出勤学员数量/参加会议学员数量</w:t>
            </w:r>
          </w:p>
        </w:tc>
        <w:tc>
          <w:tcPr>
            <w:tcW w:w="2268" w:type="dxa"/>
            <w:vAlign w:val="center"/>
          </w:tcPr>
          <w:p>
            <w:pPr>
              <w:pStyle w:val="14"/>
            </w:pPr>
            <w:r>
              <w:t>100百分比</w:t>
            </w:r>
          </w:p>
        </w:tc>
        <w:tc>
          <w:tcPr>
            <w:tcW w:w="1276" w:type="dxa"/>
            <w:vAlign w:val="center"/>
          </w:tcPr>
          <w:p>
            <w:pPr>
              <w:pStyle w:val="14"/>
            </w:pPr>
            <w:r>
              <w:t>团市委会议经费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会议合格率</w:t>
            </w:r>
          </w:p>
        </w:tc>
        <w:tc>
          <w:tcPr>
            <w:tcW w:w="5386" w:type="dxa"/>
            <w:vAlign w:val="center"/>
          </w:tcPr>
          <w:p>
            <w:pPr>
              <w:pStyle w:val="14"/>
            </w:pPr>
            <w:r>
              <w:t>会议合格率</w:t>
            </w:r>
          </w:p>
        </w:tc>
        <w:tc>
          <w:tcPr>
            <w:tcW w:w="2268" w:type="dxa"/>
            <w:vAlign w:val="center"/>
          </w:tcPr>
          <w:p>
            <w:pPr>
              <w:pStyle w:val="14"/>
            </w:pPr>
            <w:r>
              <w:t>90百分比</w:t>
            </w:r>
          </w:p>
        </w:tc>
        <w:tc>
          <w:tcPr>
            <w:tcW w:w="1276" w:type="dxa"/>
            <w:vAlign w:val="center"/>
          </w:tcPr>
          <w:p>
            <w:pPr>
              <w:pStyle w:val="14"/>
            </w:pPr>
            <w:r>
              <w:t>团市委会议经费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团市委会议经费</w:t>
            </w:r>
          </w:p>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团市委会议经费</w:t>
            </w:r>
          </w:p>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会议内容有效落实</w:t>
            </w:r>
          </w:p>
        </w:tc>
        <w:tc>
          <w:tcPr>
            <w:tcW w:w="5386" w:type="dxa"/>
            <w:vAlign w:val="center"/>
          </w:tcPr>
          <w:p>
            <w:pPr>
              <w:pStyle w:val="14"/>
            </w:pPr>
            <w:r>
              <w:t>会议内容有效落实</w:t>
            </w:r>
          </w:p>
        </w:tc>
        <w:tc>
          <w:tcPr>
            <w:tcW w:w="2268" w:type="dxa"/>
            <w:vAlign w:val="center"/>
          </w:tcPr>
          <w:p>
            <w:pPr>
              <w:pStyle w:val="14"/>
            </w:pPr>
            <w:r>
              <w:t xml:space="preserve">有效落实 </w:t>
            </w:r>
          </w:p>
        </w:tc>
        <w:tc>
          <w:tcPr>
            <w:tcW w:w="1276" w:type="dxa"/>
            <w:vAlign w:val="center"/>
          </w:tcPr>
          <w:p>
            <w:pPr>
              <w:pStyle w:val="14"/>
            </w:pPr>
            <w:r>
              <w:t>团市委会议经费</w:t>
            </w:r>
          </w:p>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团市委会议经费</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10、团市委培训费绩效目标表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13020024P006831103137</w:t>
            </w:r>
          </w:p>
        </w:tc>
        <w:tc>
          <w:tcPr>
            <w:tcW w:w="2835" w:type="dxa"/>
            <w:vAlign w:val="center"/>
          </w:tcPr>
          <w:p>
            <w:pPr>
              <w:pStyle w:val="12"/>
            </w:pPr>
            <w:r>
              <w:t>项目名称</w:t>
            </w:r>
          </w:p>
        </w:tc>
        <w:tc>
          <w:tcPr>
            <w:tcW w:w="6094" w:type="dxa"/>
            <w:gridSpan w:val="3"/>
            <w:vAlign w:val="center"/>
          </w:tcPr>
          <w:p>
            <w:pPr>
              <w:pStyle w:val="14"/>
            </w:pPr>
            <w:r>
              <w:t>团市委培训费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12.73</w:t>
            </w:r>
          </w:p>
        </w:tc>
        <w:tc>
          <w:tcPr>
            <w:tcW w:w="2835" w:type="dxa"/>
            <w:vAlign w:val="center"/>
          </w:tcPr>
          <w:p>
            <w:pPr>
              <w:pStyle w:val="12"/>
            </w:pPr>
            <w:r>
              <w:t>其中：财政    资金</w:t>
            </w:r>
          </w:p>
        </w:tc>
        <w:tc>
          <w:tcPr>
            <w:tcW w:w="2551" w:type="dxa"/>
            <w:vAlign w:val="center"/>
          </w:tcPr>
          <w:p>
            <w:pPr>
              <w:pStyle w:val="14"/>
            </w:pPr>
            <w:r>
              <w:t>12.73</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用于机关培训支出，保障机关工作正常运转。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1.做好工作业务培训，保障单位业务开展。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培训出勤率</w:t>
            </w:r>
          </w:p>
        </w:tc>
        <w:tc>
          <w:tcPr>
            <w:tcW w:w="5386" w:type="dxa"/>
            <w:vAlign w:val="center"/>
          </w:tcPr>
          <w:p>
            <w:pPr>
              <w:pStyle w:val="14"/>
            </w:pPr>
            <w:r>
              <w:t>培训出勤率=实际出勤学员数量/参加培训学员数量</w:t>
            </w:r>
          </w:p>
        </w:tc>
        <w:tc>
          <w:tcPr>
            <w:tcW w:w="2268" w:type="dxa"/>
            <w:vAlign w:val="center"/>
          </w:tcPr>
          <w:p>
            <w:pPr>
              <w:pStyle w:val="14"/>
            </w:pPr>
            <w:r>
              <w:t>100百分比</w:t>
            </w:r>
          </w:p>
        </w:tc>
        <w:tc>
          <w:tcPr>
            <w:tcW w:w="1276" w:type="dxa"/>
            <w:vAlign w:val="center"/>
          </w:tcPr>
          <w:p>
            <w:pPr>
              <w:pStyle w:val="14"/>
            </w:pPr>
            <w:r>
              <w:t>团市委培训费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培训合格率=培训合格的学员数量/培训学员数量</w:t>
            </w:r>
          </w:p>
        </w:tc>
        <w:tc>
          <w:tcPr>
            <w:tcW w:w="2268" w:type="dxa"/>
            <w:vAlign w:val="center"/>
          </w:tcPr>
          <w:p>
            <w:pPr>
              <w:pStyle w:val="14"/>
            </w:pPr>
            <w:r>
              <w:t>≥90百分比</w:t>
            </w:r>
          </w:p>
        </w:tc>
        <w:tc>
          <w:tcPr>
            <w:tcW w:w="1276" w:type="dxa"/>
            <w:vAlign w:val="center"/>
          </w:tcPr>
          <w:p>
            <w:pPr>
              <w:pStyle w:val="14"/>
            </w:pPr>
            <w:r>
              <w:t>团市委培训费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团市委培训费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团市委培训费</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受训学员业务应用情况</w:t>
            </w:r>
          </w:p>
        </w:tc>
        <w:tc>
          <w:tcPr>
            <w:tcW w:w="5386" w:type="dxa"/>
            <w:vAlign w:val="center"/>
          </w:tcPr>
          <w:p>
            <w:pPr>
              <w:pStyle w:val="14"/>
            </w:pPr>
            <w:r>
              <w:t>培训内容对受训学员实际工作上的提升</w:t>
            </w:r>
          </w:p>
        </w:tc>
        <w:tc>
          <w:tcPr>
            <w:tcW w:w="2268" w:type="dxa"/>
            <w:vAlign w:val="center"/>
          </w:tcPr>
          <w:p>
            <w:pPr>
              <w:pStyle w:val="14"/>
            </w:pPr>
            <w:r>
              <w:t>有所提升</w:t>
            </w:r>
          </w:p>
        </w:tc>
        <w:tc>
          <w:tcPr>
            <w:tcW w:w="1276" w:type="dxa"/>
            <w:vAlign w:val="center"/>
          </w:tcPr>
          <w:p>
            <w:pPr>
              <w:pStyle w:val="14"/>
            </w:pPr>
            <w:r>
              <w:t>团市委培训费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团市委培训费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11、团市委全会绩效目标表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13020024P00682910287M</w:t>
            </w:r>
          </w:p>
        </w:tc>
        <w:tc>
          <w:tcPr>
            <w:tcW w:w="2835" w:type="dxa"/>
            <w:vAlign w:val="center"/>
          </w:tcPr>
          <w:p>
            <w:pPr>
              <w:pStyle w:val="12"/>
            </w:pPr>
            <w:r>
              <w:t>项目名称</w:t>
            </w:r>
          </w:p>
        </w:tc>
        <w:tc>
          <w:tcPr>
            <w:tcW w:w="6094" w:type="dxa"/>
            <w:gridSpan w:val="3"/>
            <w:vAlign w:val="center"/>
          </w:tcPr>
          <w:p>
            <w:pPr>
              <w:pStyle w:val="14"/>
            </w:pPr>
            <w:r>
              <w:t>团市委全会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w:t>
            </w:r>
          </w:p>
        </w:tc>
        <w:tc>
          <w:tcPr>
            <w:tcW w:w="2835" w:type="dxa"/>
            <w:vAlign w:val="center"/>
          </w:tcPr>
          <w:p>
            <w:pPr>
              <w:pStyle w:val="12"/>
            </w:pPr>
            <w:r>
              <w:t>其中：财政    资金</w:t>
            </w:r>
          </w:p>
        </w:tc>
        <w:tc>
          <w:tcPr>
            <w:tcW w:w="2551" w:type="dxa"/>
            <w:vAlign w:val="center"/>
          </w:tcPr>
          <w:p>
            <w:pPr>
              <w:pStyle w:val="14"/>
            </w:pPr>
            <w:r>
              <w:t>3.50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团市委拟于2024年初召开团市委全会，进行年度表彰、总结，部署2024年全市共青团工作。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1.做好专项会议工作，保障单位业务开展。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会议出勤率</w:t>
            </w:r>
          </w:p>
        </w:tc>
        <w:tc>
          <w:tcPr>
            <w:tcW w:w="5386" w:type="dxa"/>
            <w:vAlign w:val="center"/>
          </w:tcPr>
          <w:p>
            <w:pPr>
              <w:pStyle w:val="14"/>
            </w:pPr>
            <w:r>
              <w:t>会议出勤率=实际出勤学员数量/参加会议学员数量</w:t>
            </w:r>
          </w:p>
        </w:tc>
        <w:tc>
          <w:tcPr>
            <w:tcW w:w="2268" w:type="dxa"/>
            <w:vAlign w:val="center"/>
          </w:tcPr>
          <w:p>
            <w:pPr>
              <w:pStyle w:val="14"/>
            </w:pPr>
            <w:r>
              <w:t>100百分比</w:t>
            </w:r>
          </w:p>
        </w:tc>
        <w:tc>
          <w:tcPr>
            <w:tcW w:w="1276" w:type="dxa"/>
            <w:vAlign w:val="center"/>
          </w:tcPr>
          <w:p>
            <w:pPr>
              <w:pStyle w:val="14"/>
            </w:pPr>
            <w:r>
              <w:t>团市委全会测算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会议合格率</w:t>
            </w:r>
          </w:p>
        </w:tc>
        <w:tc>
          <w:tcPr>
            <w:tcW w:w="5386" w:type="dxa"/>
            <w:vAlign w:val="center"/>
          </w:tcPr>
          <w:p>
            <w:pPr>
              <w:pStyle w:val="14"/>
            </w:pPr>
            <w:r>
              <w:t>会议合格率</w:t>
            </w:r>
          </w:p>
        </w:tc>
        <w:tc>
          <w:tcPr>
            <w:tcW w:w="2268" w:type="dxa"/>
            <w:vAlign w:val="center"/>
          </w:tcPr>
          <w:p>
            <w:pPr>
              <w:pStyle w:val="14"/>
            </w:pPr>
            <w:r>
              <w:t>90百分比</w:t>
            </w:r>
          </w:p>
        </w:tc>
        <w:tc>
          <w:tcPr>
            <w:tcW w:w="1276" w:type="dxa"/>
            <w:vAlign w:val="center"/>
          </w:tcPr>
          <w:p>
            <w:pPr>
              <w:pStyle w:val="14"/>
            </w:pPr>
            <w:r>
              <w:t>团市委全会测算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团市委全会测算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团市委全会测算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会议内容有效落实</w:t>
            </w:r>
          </w:p>
        </w:tc>
        <w:tc>
          <w:tcPr>
            <w:tcW w:w="5386" w:type="dxa"/>
            <w:vAlign w:val="center"/>
          </w:tcPr>
          <w:p>
            <w:pPr>
              <w:pStyle w:val="14"/>
            </w:pPr>
            <w:r>
              <w:t>会议内容有效落实</w:t>
            </w:r>
          </w:p>
        </w:tc>
        <w:tc>
          <w:tcPr>
            <w:tcW w:w="2268" w:type="dxa"/>
            <w:vAlign w:val="center"/>
          </w:tcPr>
          <w:p>
            <w:pPr>
              <w:pStyle w:val="14"/>
            </w:pPr>
            <w:r>
              <w:t>有效落实</w:t>
            </w:r>
          </w:p>
        </w:tc>
        <w:tc>
          <w:tcPr>
            <w:tcW w:w="1276" w:type="dxa"/>
            <w:vAlign w:val="center"/>
          </w:tcPr>
          <w:p>
            <w:pPr>
              <w:pStyle w:val="14"/>
            </w:pPr>
            <w:r>
              <w:t>团市委全会测算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团市委全会测算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12、网络平台运营费绩效目标表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13020024P00683310509Y</w:t>
            </w:r>
          </w:p>
        </w:tc>
        <w:tc>
          <w:tcPr>
            <w:tcW w:w="2835" w:type="dxa"/>
            <w:vAlign w:val="center"/>
          </w:tcPr>
          <w:p>
            <w:pPr>
              <w:pStyle w:val="12"/>
            </w:pPr>
            <w:r>
              <w:t>项目名称</w:t>
            </w:r>
          </w:p>
        </w:tc>
        <w:tc>
          <w:tcPr>
            <w:tcW w:w="6094" w:type="dxa"/>
            <w:gridSpan w:val="3"/>
            <w:vAlign w:val="center"/>
          </w:tcPr>
          <w:p>
            <w:pPr>
              <w:pStyle w:val="14"/>
            </w:pPr>
            <w:r>
              <w:t>网络平台运营费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主要用于网站域名、通信服务、安全服务、新媒体技术等项。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1.主要用于网络信息系统运行维护支出</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5386" w:type="dxa"/>
            <w:vAlign w:val="center"/>
          </w:tcPr>
          <w:p>
            <w:pPr>
              <w:pStyle w:val="14"/>
            </w:pPr>
            <w:r>
              <w:t>网络运行维护覆盖率</w:t>
            </w:r>
          </w:p>
        </w:tc>
        <w:tc>
          <w:tcPr>
            <w:tcW w:w="2268" w:type="dxa"/>
            <w:vAlign w:val="center"/>
          </w:tcPr>
          <w:p>
            <w:pPr>
              <w:pStyle w:val="14"/>
            </w:pPr>
            <w:r>
              <w:t>100百分比</w:t>
            </w:r>
          </w:p>
        </w:tc>
        <w:tc>
          <w:tcPr>
            <w:tcW w:w="1276" w:type="dxa"/>
            <w:vAlign w:val="center"/>
          </w:tcPr>
          <w:p>
            <w:pPr>
              <w:pStyle w:val="14"/>
            </w:pPr>
            <w:r>
              <w:t>网络平台运营费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5386" w:type="dxa"/>
            <w:vAlign w:val="center"/>
          </w:tcPr>
          <w:p>
            <w:pPr>
              <w:pStyle w:val="14"/>
            </w:pPr>
            <w:r>
              <w:t>验收合格合格率</w:t>
            </w:r>
          </w:p>
        </w:tc>
        <w:tc>
          <w:tcPr>
            <w:tcW w:w="2268" w:type="dxa"/>
            <w:vAlign w:val="center"/>
          </w:tcPr>
          <w:p>
            <w:pPr>
              <w:pStyle w:val="14"/>
            </w:pPr>
            <w:r>
              <w:t>100百分比</w:t>
            </w:r>
          </w:p>
        </w:tc>
        <w:tc>
          <w:tcPr>
            <w:tcW w:w="1276" w:type="dxa"/>
            <w:vAlign w:val="center"/>
          </w:tcPr>
          <w:p>
            <w:pPr>
              <w:pStyle w:val="14"/>
            </w:pPr>
            <w:r>
              <w:t>网络平台运营费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网络平台运营费</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网络平台运营费</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平台使用率</w:t>
            </w:r>
          </w:p>
        </w:tc>
        <w:tc>
          <w:tcPr>
            <w:tcW w:w="5386" w:type="dxa"/>
            <w:vAlign w:val="center"/>
          </w:tcPr>
          <w:p>
            <w:pPr>
              <w:pStyle w:val="14"/>
            </w:pPr>
            <w:r>
              <w:t>平台使用率</w:t>
            </w:r>
          </w:p>
        </w:tc>
        <w:tc>
          <w:tcPr>
            <w:tcW w:w="2268" w:type="dxa"/>
            <w:vAlign w:val="center"/>
          </w:tcPr>
          <w:p>
            <w:pPr>
              <w:pStyle w:val="14"/>
            </w:pPr>
            <w:r>
              <w:t>≥90百分比</w:t>
            </w:r>
          </w:p>
        </w:tc>
        <w:tc>
          <w:tcPr>
            <w:tcW w:w="1276" w:type="dxa"/>
            <w:vAlign w:val="center"/>
          </w:tcPr>
          <w:p>
            <w:pPr>
              <w:pStyle w:val="14"/>
            </w:pPr>
            <w:r>
              <w:t>网络平台运营费</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网络平台运营费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13、学雷锋活动经费绩效目标表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13020024P00684113246W</w:t>
            </w:r>
          </w:p>
        </w:tc>
        <w:tc>
          <w:tcPr>
            <w:tcW w:w="2835" w:type="dxa"/>
            <w:vAlign w:val="center"/>
          </w:tcPr>
          <w:p>
            <w:pPr>
              <w:pStyle w:val="12"/>
            </w:pPr>
            <w:r>
              <w:t>项目名称</w:t>
            </w:r>
          </w:p>
        </w:tc>
        <w:tc>
          <w:tcPr>
            <w:tcW w:w="6094" w:type="dxa"/>
            <w:gridSpan w:val="3"/>
            <w:vAlign w:val="center"/>
          </w:tcPr>
          <w:p>
            <w:pPr>
              <w:pStyle w:val="14"/>
            </w:pPr>
            <w:r>
              <w:t>学雷锋活动经费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w:t>
            </w:r>
          </w:p>
        </w:tc>
        <w:tc>
          <w:tcPr>
            <w:tcW w:w="2835" w:type="dxa"/>
            <w:vAlign w:val="center"/>
          </w:tcPr>
          <w:p>
            <w:pPr>
              <w:pStyle w:val="12"/>
            </w:pPr>
            <w:r>
              <w:t>其中：财政    资金</w:t>
            </w:r>
          </w:p>
        </w:tc>
        <w:tc>
          <w:tcPr>
            <w:tcW w:w="2551" w:type="dxa"/>
            <w:vAlign w:val="center"/>
          </w:tcPr>
          <w:p>
            <w:pPr>
              <w:pStyle w:val="14"/>
            </w:pPr>
            <w:r>
              <w:t>1.20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开展各类青年志愿服务活动。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12000元</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5386" w:type="dxa"/>
            <w:vAlign w:val="center"/>
          </w:tcPr>
          <w:p>
            <w:pPr>
              <w:pStyle w:val="14"/>
            </w:pPr>
            <w:r>
              <w:t>综合业务管理工作完成率</w:t>
            </w:r>
          </w:p>
        </w:tc>
        <w:tc>
          <w:tcPr>
            <w:tcW w:w="2268" w:type="dxa"/>
            <w:vAlign w:val="center"/>
          </w:tcPr>
          <w:p>
            <w:pPr>
              <w:pStyle w:val="14"/>
            </w:pPr>
            <w:r>
              <w:t>≥100百分比</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100百分比</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100百分比</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5386" w:type="dxa"/>
            <w:vAlign w:val="center"/>
          </w:tcPr>
          <w:p>
            <w:pPr>
              <w:pStyle w:val="14"/>
            </w:pPr>
            <w:r>
              <w:t>服务的改善与提升</w:t>
            </w:r>
          </w:p>
        </w:tc>
        <w:tc>
          <w:tcPr>
            <w:tcW w:w="2268" w:type="dxa"/>
            <w:vAlign w:val="center"/>
          </w:tcPr>
          <w:p>
            <w:pPr>
              <w:pStyle w:val="14"/>
            </w:pPr>
            <w:r>
              <w:t>≥90百分比</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5386" w:type="dxa"/>
            <w:vAlign w:val="center"/>
          </w:tcPr>
          <w:p>
            <w:pPr>
              <w:pStyle w:val="14"/>
            </w:pPr>
            <w:r>
              <w:t>传承中华民族传统文化</w:t>
            </w:r>
          </w:p>
        </w:tc>
        <w:tc>
          <w:tcPr>
            <w:tcW w:w="2268" w:type="dxa"/>
            <w:vAlign w:val="center"/>
          </w:tcPr>
          <w:p>
            <w:pPr>
              <w:pStyle w:val="14"/>
            </w:pPr>
            <w:r>
              <w:t>弘扬中华传统文化</w:t>
            </w:r>
          </w:p>
        </w:tc>
        <w:tc>
          <w:tcPr>
            <w:tcW w:w="1276" w:type="dxa"/>
            <w:vAlign w:val="center"/>
          </w:tcPr>
          <w:p>
            <w:pPr>
              <w:pStyle w:val="14"/>
            </w:pPr>
            <w:r>
              <w:t>学雷锋活动经费测算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学雷锋活动经费测算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14、预防青少年违法犯罪活动绩效目标表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13020024P006841132459</w:t>
            </w:r>
          </w:p>
        </w:tc>
        <w:tc>
          <w:tcPr>
            <w:tcW w:w="2835" w:type="dxa"/>
            <w:vAlign w:val="center"/>
          </w:tcPr>
          <w:p>
            <w:pPr>
              <w:pStyle w:val="12"/>
            </w:pPr>
            <w:r>
              <w:t>项目名称</w:t>
            </w:r>
          </w:p>
        </w:tc>
        <w:tc>
          <w:tcPr>
            <w:tcW w:w="6094" w:type="dxa"/>
            <w:gridSpan w:val="3"/>
            <w:vAlign w:val="center"/>
          </w:tcPr>
          <w:p>
            <w:pPr>
              <w:pStyle w:val="14"/>
            </w:pPr>
            <w:r>
              <w:t>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15.20</w:t>
            </w:r>
          </w:p>
        </w:tc>
        <w:tc>
          <w:tcPr>
            <w:tcW w:w="2835" w:type="dxa"/>
            <w:vAlign w:val="center"/>
          </w:tcPr>
          <w:p>
            <w:pPr>
              <w:pStyle w:val="12"/>
            </w:pPr>
            <w:r>
              <w:t>其中：财政    资金</w:t>
            </w:r>
          </w:p>
        </w:tc>
        <w:tc>
          <w:tcPr>
            <w:tcW w:w="2551" w:type="dxa"/>
            <w:vAlign w:val="center"/>
          </w:tcPr>
          <w:p>
            <w:pPr>
              <w:pStyle w:val="14"/>
            </w:pPr>
            <w:r>
              <w:t>15.20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拟组织预防青少年违法犯罪活动。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覆盖率</w:t>
            </w:r>
          </w:p>
        </w:tc>
        <w:tc>
          <w:tcPr>
            <w:tcW w:w="5386" w:type="dxa"/>
            <w:vAlign w:val="center"/>
          </w:tcPr>
          <w:p>
            <w:pPr>
              <w:pStyle w:val="14"/>
            </w:pPr>
            <w:r>
              <w:t>覆盖率</w:t>
            </w:r>
          </w:p>
        </w:tc>
        <w:tc>
          <w:tcPr>
            <w:tcW w:w="2268" w:type="dxa"/>
            <w:vAlign w:val="center"/>
          </w:tcPr>
          <w:p>
            <w:pPr>
              <w:pStyle w:val="14"/>
            </w:pPr>
            <w:r>
              <w:t>≥90百分比</w:t>
            </w:r>
          </w:p>
        </w:tc>
        <w:tc>
          <w:tcPr>
            <w:tcW w:w="1276" w:type="dxa"/>
            <w:vAlign w:val="center"/>
          </w:tcPr>
          <w:p>
            <w:pPr>
              <w:pStyle w:val="14"/>
            </w:pPr>
            <w:r>
              <w:t>预防青少年违法犯罪活动预算测算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152000元</w:t>
            </w:r>
          </w:p>
        </w:tc>
        <w:tc>
          <w:tcPr>
            <w:tcW w:w="1276" w:type="dxa"/>
            <w:vAlign w:val="center"/>
          </w:tcPr>
          <w:p>
            <w:pPr>
              <w:pStyle w:val="14"/>
            </w:pPr>
            <w:r>
              <w:t>预防青少年违法犯罪活动预算测算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100百分比</w:t>
            </w:r>
          </w:p>
        </w:tc>
        <w:tc>
          <w:tcPr>
            <w:tcW w:w="1276" w:type="dxa"/>
            <w:vAlign w:val="center"/>
          </w:tcPr>
          <w:p>
            <w:pPr>
              <w:pStyle w:val="14"/>
            </w:pPr>
            <w:r>
              <w:t>预防青少年违法犯罪活动预算测算</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青少年违法犯罪下降率</w:t>
            </w:r>
          </w:p>
        </w:tc>
        <w:tc>
          <w:tcPr>
            <w:tcW w:w="5386" w:type="dxa"/>
            <w:vAlign w:val="center"/>
          </w:tcPr>
          <w:p>
            <w:pPr>
              <w:pStyle w:val="14"/>
            </w:pPr>
            <w:r>
              <w:t>青少年违法犯罪下降率</w:t>
            </w:r>
          </w:p>
        </w:tc>
        <w:tc>
          <w:tcPr>
            <w:tcW w:w="2268" w:type="dxa"/>
            <w:vAlign w:val="center"/>
          </w:tcPr>
          <w:p>
            <w:pPr>
              <w:pStyle w:val="14"/>
            </w:pPr>
            <w:r>
              <w:t>≥80百分比</w:t>
            </w:r>
          </w:p>
        </w:tc>
        <w:tc>
          <w:tcPr>
            <w:tcW w:w="1276" w:type="dxa"/>
            <w:vAlign w:val="center"/>
          </w:tcPr>
          <w:p>
            <w:pPr>
              <w:pStyle w:val="14"/>
            </w:pPr>
            <w:r>
              <w:t>预防青少年违法犯罪活动预算测算</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减少青少年犯罪，维护社会稳定</w:t>
            </w:r>
          </w:p>
        </w:tc>
        <w:tc>
          <w:tcPr>
            <w:tcW w:w="1276" w:type="dxa"/>
            <w:vAlign w:val="center"/>
          </w:tcPr>
          <w:p>
            <w:pPr>
              <w:pStyle w:val="14"/>
            </w:pPr>
            <w:r>
              <w:t>预防青少年违法犯罪活动预算测算</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≥100百分比</w:t>
            </w:r>
          </w:p>
        </w:tc>
        <w:tc>
          <w:tcPr>
            <w:tcW w:w="1276" w:type="dxa"/>
            <w:vAlign w:val="center"/>
          </w:tcPr>
          <w:p>
            <w:pPr>
              <w:pStyle w:val="14"/>
            </w:pPr>
            <w:r>
              <w:t>预防青少年违法犯罪活动预算测算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15、共青团唐山市第十九次代表大会绩效目标表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13020024P00762510001T</w:t>
            </w:r>
          </w:p>
        </w:tc>
        <w:tc>
          <w:tcPr>
            <w:tcW w:w="2835" w:type="dxa"/>
            <w:vAlign w:val="center"/>
          </w:tcPr>
          <w:p>
            <w:pPr>
              <w:pStyle w:val="12"/>
            </w:pPr>
            <w:r>
              <w:t>项目名称</w:t>
            </w:r>
          </w:p>
        </w:tc>
        <w:tc>
          <w:tcPr>
            <w:tcW w:w="6094" w:type="dxa"/>
            <w:gridSpan w:val="3"/>
            <w:vAlign w:val="center"/>
          </w:tcPr>
          <w:p>
            <w:pPr>
              <w:pStyle w:val="14"/>
            </w:pPr>
            <w:r>
              <w:t>共青团唐山市第十九次代表大会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27.00</w:t>
            </w:r>
          </w:p>
        </w:tc>
        <w:tc>
          <w:tcPr>
            <w:tcW w:w="2835" w:type="dxa"/>
            <w:vAlign w:val="center"/>
          </w:tcPr>
          <w:p>
            <w:pPr>
              <w:pStyle w:val="12"/>
            </w:pPr>
            <w:r>
              <w:t>其中：财政    资金</w:t>
            </w:r>
          </w:p>
        </w:tc>
        <w:tc>
          <w:tcPr>
            <w:tcW w:w="2551" w:type="dxa"/>
            <w:vAlign w:val="center"/>
          </w:tcPr>
          <w:p>
            <w:pPr>
              <w:pStyle w:val="14"/>
            </w:pPr>
            <w:r>
              <w:t>27.00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共青团唐山市第十九次代表大会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参会人数</w:t>
            </w:r>
          </w:p>
        </w:tc>
        <w:tc>
          <w:tcPr>
            <w:tcW w:w="5386" w:type="dxa"/>
            <w:vAlign w:val="center"/>
          </w:tcPr>
          <w:p>
            <w:pPr>
              <w:pStyle w:val="14"/>
            </w:pPr>
            <w:r>
              <w:t>参加会议人数</w:t>
            </w:r>
          </w:p>
        </w:tc>
        <w:tc>
          <w:tcPr>
            <w:tcW w:w="2268" w:type="dxa"/>
            <w:vAlign w:val="center"/>
          </w:tcPr>
          <w:p>
            <w:pPr>
              <w:pStyle w:val="14"/>
            </w:pPr>
            <w:r>
              <w:t>≥280人</w:t>
            </w:r>
          </w:p>
        </w:tc>
        <w:tc>
          <w:tcPr>
            <w:tcW w:w="1276" w:type="dxa"/>
            <w:vAlign w:val="center"/>
          </w:tcPr>
          <w:p>
            <w:pPr>
              <w:pStyle w:val="14"/>
            </w:pPr>
            <w:r>
              <w:t>依据共青团唐山市第十九次代表大会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5386" w:type="dxa"/>
            <w:vAlign w:val="center"/>
          </w:tcPr>
          <w:p>
            <w:pPr>
              <w:pStyle w:val="14"/>
            </w:pPr>
            <w:r>
              <w:t>项目合格率</w:t>
            </w:r>
          </w:p>
        </w:tc>
        <w:tc>
          <w:tcPr>
            <w:tcW w:w="2268" w:type="dxa"/>
            <w:vAlign w:val="center"/>
          </w:tcPr>
          <w:p>
            <w:pPr>
              <w:pStyle w:val="14"/>
            </w:pPr>
            <w:r>
              <w:t>≥90百分比</w:t>
            </w:r>
          </w:p>
        </w:tc>
        <w:tc>
          <w:tcPr>
            <w:tcW w:w="1276" w:type="dxa"/>
            <w:vAlign w:val="center"/>
          </w:tcPr>
          <w:p>
            <w:pPr>
              <w:pStyle w:val="14"/>
            </w:pPr>
            <w:r>
              <w:t>依据共青团唐山市第十九次代表大会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依据共青团唐山市第十九次代表大会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依据共青团唐山市第十九次代表大会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依据共青团唐山市第十九次代表大会</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服务对象满意度</w:t>
            </w:r>
          </w:p>
        </w:tc>
        <w:tc>
          <w:tcPr>
            <w:tcW w:w="1276" w:type="dxa"/>
            <w:vAlign w:val="center"/>
          </w:tcPr>
          <w:p>
            <w:pPr>
              <w:pStyle w:val="14"/>
            </w:pPr>
            <w:r>
              <w:t>依据共青团唐山市第十九次代表大会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16、中国少年先锋队唐山市第四次代表大会绩效目标表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13020024P00761210001J</w:t>
            </w:r>
          </w:p>
        </w:tc>
        <w:tc>
          <w:tcPr>
            <w:tcW w:w="2835" w:type="dxa"/>
            <w:vAlign w:val="center"/>
          </w:tcPr>
          <w:p>
            <w:pPr>
              <w:pStyle w:val="12"/>
            </w:pPr>
            <w:r>
              <w:t>项目名称</w:t>
            </w:r>
          </w:p>
        </w:tc>
        <w:tc>
          <w:tcPr>
            <w:tcW w:w="6094" w:type="dxa"/>
            <w:gridSpan w:val="3"/>
            <w:vAlign w:val="center"/>
          </w:tcPr>
          <w:p>
            <w:pPr>
              <w:pStyle w:val="14"/>
            </w:pPr>
            <w:r>
              <w:t>中国少年先锋队唐山市第四次代表大会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22.82</w:t>
            </w:r>
          </w:p>
        </w:tc>
        <w:tc>
          <w:tcPr>
            <w:tcW w:w="2835" w:type="dxa"/>
            <w:vAlign w:val="center"/>
          </w:tcPr>
          <w:p>
            <w:pPr>
              <w:pStyle w:val="12"/>
            </w:pPr>
            <w:r>
              <w:t>其中：财政    资金</w:t>
            </w:r>
          </w:p>
        </w:tc>
        <w:tc>
          <w:tcPr>
            <w:tcW w:w="2551" w:type="dxa"/>
            <w:vAlign w:val="center"/>
          </w:tcPr>
          <w:p>
            <w:pPr>
              <w:pStyle w:val="14"/>
            </w:pPr>
            <w:r>
              <w:t>22.82</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中国少年先锋队唐山市第四次代表大会。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60%</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参会人数</w:t>
            </w:r>
          </w:p>
        </w:tc>
        <w:tc>
          <w:tcPr>
            <w:tcW w:w="5386" w:type="dxa"/>
            <w:vAlign w:val="center"/>
          </w:tcPr>
          <w:p>
            <w:pPr>
              <w:pStyle w:val="14"/>
            </w:pPr>
            <w:r>
              <w:t>参加会议人数</w:t>
            </w:r>
          </w:p>
        </w:tc>
        <w:tc>
          <w:tcPr>
            <w:tcW w:w="2268" w:type="dxa"/>
            <w:vAlign w:val="center"/>
          </w:tcPr>
          <w:p>
            <w:pPr>
              <w:pStyle w:val="14"/>
            </w:pPr>
            <w:r>
              <w:t>≥280人</w:t>
            </w:r>
          </w:p>
        </w:tc>
        <w:tc>
          <w:tcPr>
            <w:tcW w:w="1276" w:type="dxa"/>
            <w:vAlign w:val="center"/>
          </w:tcPr>
          <w:p>
            <w:pPr>
              <w:pStyle w:val="14"/>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100百分比</w:t>
            </w:r>
          </w:p>
        </w:tc>
        <w:tc>
          <w:tcPr>
            <w:tcW w:w="1276" w:type="dxa"/>
            <w:vAlign w:val="center"/>
          </w:tcPr>
          <w:p>
            <w:pPr>
              <w:pStyle w:val="14"/>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≥90百分比</w:t>
            </w:r>
          </w:p>
        </w:tc>
        <w:tc>
          <w:tcPr>
            <w:tcW w:w="1276" w:type="dxa"/>
            <w:vAlign w:val="center"/>
          </w:tcPr>
          <w:p>
            <w:pPr>
              <w:pStyle w:val="14"/>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依据中国少年先锋队唐山市第四次代表大会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≥90百分比</w:t>
            </w:r>
          </w:p>
        </w:tc>
        <w:tc>
          <w:tcPr>
            <w:tcW w:w="1276" w:type="dxa"/>
            <w:vAlign w:val="center"/>
          </w:tcPr>
          <w:p>
            <w:pPr>
              <w:pStyle w:val="14"/>
            </w:pPr>
            <w:r>
              <w:t>依据中国少年先锋队唐山市第四次代表大会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17、其他交通费用绩效目标表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13020024P00684112764Q</w:t>
            </w:r>
          </w:p>
        </w:tc>
        <w:tc>
          <w:tcPr>
            <w:tcW w:w="2835" w:type="dxa"/>
            <w:vAlign w:val="center"/>
          </w:tcPr>
          <w:p>
            <w:pPr>
              <w:pStyle w:val="12"/>
            </w:pPr>
            <w:r>
              <w:t>项目名称</w:t>
            </w:r>
          </w:p>
        </w:tc>
        <w:tc>
          <w:tcPr>
            <w:tcW w:w="6094" w:type="dxa"/>
            <w:gridSpan w:val="3"/>
            <w:vAlign w:val="center"/>
          </w:tcPr>
          <w:p>
            <w:pPr>
              <w:pStyle w:val="14"/>
            </w:pPr>
            <w: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用于在职人员日常办公交通费用支出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1.保障办公正常运转</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5386" w:type="dxa"/>
            <w:vAlign w:val="center"/>
          </w:tcPr>
          <w:p>
            <w:pPr>
              <w:pStyle w:val="14"/>
            </w:pPr>
            <w:r>
              <w:t>保障办公人数</w:t>
            </w:r>
          </w:p>
        </w:tc>
        <w:tc>
          <w:tcPr>
            <w:tcW w:w="2268" w:type="dxa"/>
            <w:vAlign w:val="center"/>
          </w:tcPr>
          <w:p>
            <w:pPr>
              <w:pStyle w:val="14"/>
            </w:pPr>
            <w:r>
              <w:t>全体人员</w:t>
            </w:r>
          </w:p>
        </w:tc>
        <w:tc>
          <w:tcPr>
            <w:tcW w:w="1276" w:type="dxa"/>
            <w:vAlign w:val="center"/>
          </w:tcPr>
          <w:p>
            <w:pPr>
              <w:pStyle w:val="14"/>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5386" w:type="dxa"/>
            <w:vAlign w:val="center"/>
          </w:tcPr>
          <w:p>
            <w:pPr>
              <w:pStyle w:val="14"/>
            </w:pPr>
            <w:r>
              <w:t>各项日常工作保障率</w:t>
            </w:r>
          </w:p>
        </w:tc>
        <w:tc>
          <w:tcPr>
            <w:tcW w:w="2268" w:type="dxa"/>
            <w:vAlign w:val="center"/>
          </w:tcPr>
          <w:p>
            <w:pPr>
              <w:pStyle w:val="14"/>
            </w:pPr>
            <w:r>
              <w:t>100%</w:t>
            </w:r>
          </w:p>
        </w:tc>
        <w:tc>
          <w:tcPr>
            <w:tcW w:w="1276" w:type="dxa"/>
            <w:vAlign w:val="center"/>
          </w:tcPr>
          <w:p>
            <w:pPr>
              <w:pStyle w:val="14"/>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5386" w:type="dxa"/>
            <w:vAlign w:val="center"/>
          </w:tcPr>
          <w:p>
            <w:pPr>
              <w:pStyle w:val="14"/>
            </w:pPr>
            <w:r>
              <w:t>以及保障各项日常办公需要</w:t>
            </w:r>
          </w:p>
        </w:tc>
        <w:tc>
          <w:tcPr>
            <w:tcW w:w="2268" w:type="dxa"/>
            <w:vAlign w:val="center"/>
          </w:tcPr>
          <w:p>
            <w:pPr>
              <w:pStyle w:val="14"/>
            </w:pPr>
            <w:r>
              <w:t>及时保障</w:t>
            </w:r>
          </w:p>
        </w:tc>
        <w:tc>
          <w:tcPr>
            <w:tcW w:w="1276" w:type="dxa"/>
            <w:vAlign w:val="center"/>
          </w:tcPr>
          <w:p>
            <w:pPr>
              <w:pStyle w:val="14"/>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日常公用经费开支标准</w:t>
            </w:r>
          </w:p>
        </w:tc>
        <w:tc>
          <w:tcPr>
            <w:tcW w:w="5386" w:type="dxa"/>
            <w:vAlign w:val="center"/>
          </w:tcPr>
          <w:p>
            <w:pPr>
              <w:pStyle w:val="14"/>
            </w:pPr>
            <w:r>
              <w:t>公用经费的开支标准</w:t>
            </w:r>
          </w:p>
        </w:tc>
        <w:tc>
          <w:tcPr>
            <w:tcW w:w="2268" w:type="dxa"/>
            <w:vAlign w:val="center"/>
          </w:tcPr>
          <w:p>
            <w:pPr>
              <w:pStyle w:val="14"/>
            </w:pPr>
            <w:r>
              <w:t>按统一规定执行</w:t>
            </w:r>
          </w:p>
        </w:tc>
        <w:tc>
          <w:tcPr>
            <w:tcW w:w="1276" w:type="dxa"/>
            <w:vAlign w:val="center"/>
          </w:tcPr>
          <w:p>
            <w:pPr>
              <w:pStyle w:val="14"/>
            </w:pPr>
            <w:r>
              <w:t>唐山市青少年宫公务用车改革方案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维持单位正常运转</w:t>
            </w:r>
          </w:p>
        </w:tc>
        <w:tc>
          <w:tcPr>
            <w:tcW w:w="5386" w:type="dxa"/>
            <w:vAlign w:val="center"/>
          </w:tcPr>
          <w:p>
            <w:pPr>
              <w:pStyle w:val="14"/>
            </w:pPr>
            <w:r>
              <w:t>维持单位正常运转</w:t>
            </w:r>
          </w:p>
        </w:tc>
        <w:tc>
          <w:tcPr>
            <w:tcW w:w="2268" w:type="dxa"/>
            <w:vAlign w:val="center"/>
          </w:tcPr>
          <w:p>
            <w:pPr>
              <w:pStyle w:val="14"/>
            </w:pPr>
            <w:r>
              <w:t>维持单位正常运转</w:t>
            </w:r>
          </w:p>
        </w:tc>
        <w:tc>
          <w:tcPr>
            <w:tcW w:w="1276" w:type="dxa"/>
            <w:vAlign w:val="center"/>
          </w:tcPr>
          <w:p>
            <w:pPr>
              <w:pStyle w:val="14"/>
            </w:pPr>
            <w:r>
              <w:t>唐山市青少年宫公务用车改革方案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18、青少年宫委托运营PPP项目监管考核费绩效目标表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13020024P00684112779N</w:t>
            </w:r>
          </w:p>
        </w:tc>
        <w:tc>
          <w:tcPr>
            <w:tcW w:w="2835" w:type="dxa"/>
            <w:vAlign w:val="center"/>
          </w:tcPr>
          <w:p>
            <w:pPr>
              <w:pStyle w:val="12"/>
            </w:pPr>
            <w:r>
              <w:t>项目名称</w:t>
            </w:r>
          </w:p>
        </w:tc>
        <w:tc>
          <w:tcPr>
            <w:tcW w:w="6094" w:type="dxa"/>
            <w:gridSpan w:val="3"/>
            <w:vAlign w:val="center"/>
          </w:tcPr>
          <w:p>
            <w:pPr>
              <w:pStyle w:val="14"/>
            </w:pPr>
            <w:r>
              <w:t>青少年宫委托运营PPP项目监管考核费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用于对青少年宫委托运营PPP项目的考核服务费用支出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1.做好其他专项支出,保障单位业务开展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政府和社会资本合作（PPP）项目实施机构运营期绩效评价指标体系</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19、青少年宫委托运营PPP项目监管审计费绩效目标表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13020024P00684112783W</w:t>
            </w:r>
          </w:p>
        </w:tc>
        <w:tc>
          <w:tcPr>
            <w:tcW w:w="2835" w:type="dxa"/>
            <w:vAlign w:val="center"/>
          </w:tcPr>
          <w:p>
            <w:pPr>
              <w:pStyle w:val="12"/>
            </w:pPr>
            <w:r>
              <w:t>项目名称</w:t>
            </w:r>
          </w:p>
        </w:tc>
        <w:tc>
          <w:tcPr>
            <w:tcW w:w="6094" w:type="dxa"/>
            <w:gridSpan w:val="3"/>
            <w:vAlign w:val="center"/>
          </w:tcPr>
          <w:p>
            <w:pPr>
              <w:pStyle w:val="14"/>
            </w:pPr>
            <w:r>
              <w:t>青少年宫委托运营PPP项目监管审计费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w:t>
            </w:r>
          </w:p>
        </w:tc>
        <w:tc>
          <w:tcPr>
            <w:tcW w:w="2835" w:type="dxa"/>
            <w:vAlign w:val="center"/>
          </w:tcPr>
          <w:p>
            <w:pPr>
              <w:pStyle w:val="12"/>
            </w:pPr>
            <w:r>
              <w:t>其中：财政    资金</w:t>
            </w:r>
          </w:p>
        </w:tc>
        <w:tc>
          <w:tcPr>
            <w:tcW w:w="2551" w:type="dxa"/>
            <w:vAlign w:val="center"/>
          </w:tcPr>
          <w:p>
            <w:pPr>
              <w:pStyle w:val="14"/>
            </w:pPr>
            <w:r>
              <w:t>2.50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用于对青少年宫委托运营PPP项目的专项审计费用支出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p>
        </w:tc>
        <w:tc>
          <w:tcPr>
            <w:tcW w:w="2835" w:type="dxa"/>
            <w:vAlign w:val="center"/>
          </w:tcPr>
          <w:p>
            <w:pPr>
              <w:pStyle w:val="15"/>
            </w:pP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1.做好其他专项支出,保障单位业务开展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政府和社会资本合作（PPP）项目实施机构运营期绩效评价指标体系</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政府和社会资本合作（PPP）项目实施机构运营期绩效评价指标体系</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20、唐山市青少年宫委托运营ppp项目政府补贴绩效目标表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13020024P007624100015</w:t>
            </w:r>
          </w:p>
        </w:tc>
        <w:tc>
          <w:tcPr>
            <w:tcW w:w="2835" w:type="dxa"/>
            <w:vAlign w:val="center"/>
          </w:tcPr>
          <w:p>
            <w:pPr>
              <w:pStyle w:val="12"/>
            </w:pPr>
            <w:r>
              <w:t>项目名称</w:t>
            </w:r>
          </w:p>
        </w:tc>
        <w:tc>
          <w:tcPr>
            <w:tcW w:w="6094" w:type="dxa"/>
            <w:gridSpan w:val="3"/>
            <w:vAlign w:val="center"/>
          </w:tcPr>
          <w:p>
            <w:pPr>
              <w:pStyle w:val="14"/>
            </w:pPr>
            <w:r>
              <w:t>唐山市青少年宫委托运营ppp项目政府补贴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360.00</w:t>
            </w:r>
          </w:p>
        </w:tc>
        <w:tc>
          <w:tcPr>
            <w:tcW w:w="2835" w:type="dxa"/>
            <w:vAlign w:val="center"/>
          </w:tcPr>
          <w:p>
            <w:pPr>
              <w:pStyle w:val="12"/>
            </w:pPr>
            <w:r>
              <w:t>其中：财政    资金</w:t>
            </w:r>
          </w:p>
        </w:tc>
        <w:tc>
          <w:tcPr>
            <w:tcW w:w="2551" w:type="dxa"/>
            <w:vAlign w:val="center"/>
          </w:tcPr>
          <w:p>
            <w:pPr>
              <w:pStyle w:val="14"/>
            </w:pPr>
            <w:r>
              <w:t>360.00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用于支付唐山市青少年宫委托运营PPP项目第四年的政府补贴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1.通过引进先进的管理团队，将唐山市青少年宫打造成全国先进青少年宫。</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培训课程开设项目数量（项）</w:t>
            </w:r>
          </w:p>
        </w:tc>
        <w:tc>
          <w:tcPr>
            <w:tcW w:w="5386" w:type="dxa"/>
            <w:vAlign w:val="center"/>
          </w:tcPr>
          <w:p>
            <w:pPr>
              <w:pStyle w:val="14"/>
            </w:pPr>
            <w:r>
              <w:t>设有音乐、书画、舞蹈、棋艺、科技、手工、武术以及球类等培训项目的数量</w:t>
            </w:r>
          </w:p>
        </w:tc>
        <w:tc>
          <w:tcPr>
            <w:tcW w:w="2268" w:type="dxa"/>
            <w:vAlign w:val="center"/>
          </w:tcPr>
          <w:p>
            <w:pPr>
              <w:pStyle w:val="14"/>
            </w:pPr>
            <w:r>
              <w:t>≥40</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全年参加国际级比赛场次（场）</w:t>
            </w:r>
          </w:p>
        </w:tc>
        <w:tc>
          <w:tcPr>
            <w:tcW w:w="5386" w:type="dxa"/>
            <w:vAlign w:val="center"/>
          </w:tcPr>
          <w:p>
            <w:pPr>
              <w:pStyle w:val="14"/>
            </w:pPr>
            <w:r>
              <w:t>全年参加国际级比赛场次（场）</w:t>
            </w:r>
          </w:p>
        </w:tc>
        <w:tc>
          <w:tcPr>
            <w:tcW w:w="2268" w:type="dxa"/>
            <w:vAlign w:val="center"/>
          </w:tcPr>
          <w:p>
            <w:pPr>
              <w:pStyle w:val="14"/>
            </w:pPr>
            <w:r>
              <w:t>≥4</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全年参加国家级比赛场次（场）</w:t>
            </w:r>
          </w:p>
        </w:tc>
        <w:tc>
          <w:tcPr>
            <w:tcW w:w="5386" w:type="dxa"/>
            <w:vAlign w:val="center"/>
          </w:tcPr>
          <w:p>
            <w:pPr>
              <w:pStyle w:val="14"/>
            </w:pPr>
            <w:r>
              <w:t>全年参加国家级比赛场次（场）</w:t>
            </w:r>
          </w:p>
        </w:tc>
        <w:tc>
          <w:tcPr>
            <w:tcW w:w="2268" w:type="dxa"/>
            <w:vAlign w:val="center"/>
          </w:tcPr>
          <w:p>
            <w:pPr>
              <w:pStyle w:val="14"/>
            </w:pPr>
            <w:r>
              <w:t>≥12</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国际级活动举办率</w:t>
            </w:r>
          </w:p>
        </w:tc>
        <w:tc>
          <w:tcPr>
            <w:tcW w:w="5386" w:type="dxa"/>
            <w:vAlign w:val="center"/>
          </w:tcPr>
          <w:p>
            <w:pPr>
              <w:pStyle w:val="14"/>
            </w:pPr>
            <w:r>
              <w:t>组织举办国际级活动场次占全年参加或举办活动总场次的比率</w:t>
            </w:r>
          </w:p>
        </w:tc>
        <w:tc>
          <w:tcPr>
            <w:tcW w:w="2268" w:type="dxa"/>
            <w:vAlign w:val="center"/>
          </w:tcPr>
          <w:p>
            <w:pPr>
              <w:pStyle w:val="14"/>
            </w:pPr>
            <w:r>
              <w:t>≥0.05</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六一活动举办及时性</w:t>
            </w:r>
          </w:p>
        </w:tc>
        <w:tc>
          <w:tcPr>
            <w:tcW w:w="5386" w:type="dxa"/>
            <w:vAlign w:val="center"/>
          </w:tcPr>
          <w:p>
            <w:pPr>
              <w:pStyle w:val="14"/>
            </w:pPr>
            <w:r>
              <w:t>六一活动在6月1日及之前举办</w:t>
            </w:r>
          </w:p>
        </w:tc>
        <w:tc>
          <w:tcPr>
            <w:tcW w:w="2268" w:type="dxa"/>
            <w:vAlign w:val="center"/>
          </w:tcPr>
          <w:p>
            <w:pPr>
              <w:pStyle w:val="14"/>
            </w:pPr>
            <w:r>
              <w:t>6月1日及以前举办</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课程市价率</w:t>
            </w:r>
          </w:p>
        </w:tc>
        <w:tc>
          <w:tcPr>
            <w:tcW w:w="5386" w:type="dxa"/>
            <w:vAlign w:val="center"/>
          </w:tcPr>
          <w:p>
            <w:pPr>
              <w:pStyle w:val="14"/>
            </w:pPr>
            <w:r>
              <w:t>课程定价与市场平均价格比率</w:t>
            </w:r>
          </w:p>
        </w:tc>
        <w:tc>
          <w:tcPr>
            <w:tcW w:w="2268" w:type="dxa"/>
            <w:vAlign w:val="center"/>
          </w:tcPr>
          <w:p>
            <w:pPr>
              <w:pStyle w:val="14"/>
            </w:pPr>
            <w:r>
              <w:t>≤0.8</w:t>
            </w:r>
          </w:p>
        </w:tc>
        <w:tc>
          <w:tcPr>
            <w:tcW w:w="1276" w:type="dxa"/>
            <w:vAlign w:val="center"/>
          </w:tcPr>
          <w:p>
            <w:pPr>
              <w:pStyle w:val="14"/>
            </w:pPr>
            <w:r>
              <w:t>唐山市青少年宫委托运营PPP项目运营维护绩效考核实施细则</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公益活动场次</w:t>
            </w:r>
          </w:p>
        </w:tc>
        <w:tc>
          <w:tcPr>
            <w:tcW w:w="5386" w:type="dxa"/>
            <w:vAlign w:val="center"/>
          </w:tcPr>
          <w:p>
            <w:pPr>
              <w:pStyle w:val="14"/>
            </w:pPr>
            <w:r>
              <w:t>每年为青少年宫儿童提供免费公益活动场次</w:t>
            </w:r>
          </w:p>
        </w:tc>
        <w:tc>
          <w:tcPr>
            <w:tcW w:w="2268" w:type="dxa"/>
            <w:vAlign w:val="center"/>
          </w:tcPr>
          <w:p>
            <w:pPr>
              <w:pStyle w:val="14"/>
            </w:pPr>
            <w:r>
              <w:t>≥30</w:t>
            </w:r>
          </w:p>
        </w:tc>
        <w:tc>
          <w:tcPr>
            <w:tcW w:w="1276" w:type="dxa"/>
            <w:vAlign w:val="center"/>
          </w:tcPr>
          <w:p>
            <w:pPr>
              <w:pStyle w:val="14"/>
            </w:pPr>
            <w:r>
              <w:t>唐山市青少年宫委托运营PPP项目运营维护绩效考核实施细则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学生家长满意度</w:t>
            </w:r>
          </w:p>
        </w:tc>
        <w:tc>
          <w:tcPr>
            <w:tcW w:w="5386" w:type="dxa"/>
            <w:vAlign w:val="center"/>
          </w:tcPr>
          <w:p>
            <w:pPr>
              <w:pStyle w:val="14"/>
            </w:pPr>
            <w:r>
              <w:t>学生家长满意度</w:t>
            </w:r>
          </w:p>
        </w:tc>
        <w:tc>
          <w:tcPr>
            <w:tcW w:w="2268" w:type="dxa"/>
            <w:vAlign w:val="center"/>
          </w:tcPr>
          <w:p>
            <w:pPr>
              <w:pStyle w:val="14"/>
            </w:pPr>
            <w:r>
              <w:t>≥0.95</w:t>
            </w:r>
          </w:p>
        </w:tc>
        <w:tc>
          <w:tcPr>
            <w:tcW w:w="1276" w:type="dxa"/>
            <w:vAlign w:val="center"/>
          </w:tcPr>
          <w:p>
            <w:pPr>
              <w:pStyle w:val="14"/>
            </w:pPr>
            <w:r>
              <w:t>唐山市青少年宫委托运营PPP项目运营维护绩效考核实施细则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21、其他交通费用绩效目标表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13020024P006841132484</w:t>
            </w:r>
          </w:p>
        </w:tc>
        <w:tc>
          <w:tcPr>
            <w:tcW w:w="2835" w:type="dxa"/>
            <w:vAlign w:val="center"/>
          </w:tcPr>
          <w:p>
            <w:pPr>
              <w:pStyle w:val="12"/>
            </w:pPr>
            <w:r>
              <w:t>项目名称</w:t>
            </w:r>
          </w:p>
        </w:tc>
        <w:tc>
          <w:tcPr>
            <w:tcW w:w="6094" w:type="dxa"/>
            <w:gridSpan w:val="3"/>
            <w:vAlign w:val="center"/>
          </w:tcPr>
          <w:p>
            <w:pPr>
              <w:pStyle w:val="14"/>
            </w:pPr>
            <w:r>
              <w:t>其他交通费用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由于单位没有公车，为了满足日常工作需要，申请用车实报实销。所需其他交通费用1万元。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65%</w:t>
            </w:r>
          </w:p>
        </w:tc>
        <w:tc>
          <w:tcPr>
            <w:tcW w:w="2551" w:type="dxa"/>
            <w:vAlign w:val="center"/>
          </w:tcPr>
          <w:p>
            <w:pPr>
              <w:pStyle w:val="15"/>
            </w:pPr>
            <w:r>
              <w:t>90%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1.做好其他专项支出,保障单位业务开展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22、新媒体网络平台技术支持费绩效目标表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13020024P00683510252G</w:t>
            </w:r>
          </w:p>
        </w:tc>
        <w:tc>
          <w:tcPr>
            <w:tcW w:w="2835" w:type="dxa"/>
            <w:vAlign w:val="center"/>
          </w:tcPr>
          <w:p>
            <w:pPr>
              <w:pStyle w:val="12"/>
            </w:pPr>
            <w:r>
              <w:t>项目名称</w:t>
            </w:r>
          </w:p>
        </w:tc>
        <w:tc>
          <w:tcPr>
            <w:tcW w:w="6094" w:type="dxa"/>
            <w:gridSpan w:val="3"/>
            <w:vAlign w:val="center"/>
          </w:tcPr>
          <w:p>
            <w:pPr>
              <w:pStyle w:val="14"/>
            </w:pPr>
            <w:r>
              <w:t>新媒体网络平台技术支持费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新媒体网络平台技术支持费8万元，其中拍摄宣传视频设备1.5万元，包含高档数码照相机，云台稳定器等；拍摄视频费用6.5万元，包含重要时间节点拍摄视频费用及专题系列作品拍摄等。</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65%</w:t>
            </w:r>
          </w:p>
        </w:tc>
        <w:tc>
          <w:tcPr>
            <w:tcW w:w="2551" w:type="dxa"/>
            <w:vAlign w:val="center"/>
          </w:tcPr>
          <w:p>
            <w:pPr>
              <w:pStyle w:val="15"/>
            </w:pPr>
            <w:r>
              <w:t>90%</w:t>
            </w:r>
          </w:p>
        </w:tc>
        <w:tc>
          <w:tcPr>
            <w:tcW w:w="3543"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1.做好工作宣传，保障单位业务开展。</w:t>
            </w:r>
            <w:r>
              <w:tab/>
            </w:r>
            <w:r>
              <w:tab/>
            </w:r>
            <w:r>
              <w:tab/>
            </w:r>
            <w:r>
              <w:tab/>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宣传覆盖率（%）</w:t>
            </w:r>
          </w:p>
        </w:tc>
        <w:tc>
          <w:tcPr>
            <w:tcW w:w="5386" w:type="dxa"/>
            <w:vAlign w:val="center"/>
          </w:tcPr>
          <w:p>
            <w:pPr>
              <w:pStyle w:val="14"/>
            </w:pPr>
            <w:r>
              <w:t>宣传覆盖率（%）</w:t>
            </w:r>
          </w:p>
        </w:tc>
        <w:tc>
          <w:tcPr>
            <w:tcW w:w="2268" w:type="dxa"/>
            <w:vAlign w:val="center"/>
          </w:tcPr>
          <w:p>
            <w:pPr>
              <w:pStyle w:val="14"/>
            </w:pPr>
            <w:r>
              <w:t>100%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宣传完成率（%）</w:t>
            </w:r>
          </w:p>
        </w:tc>
        <w:tc>
          <w:tcPr>
            <w:tcW w:w="5386" w:type="dxa"/>
            <w:vAlign w:val="center"/>
          </w:tcPr>
          <w:p>
            <w:pPr>
              <w:pStyle w:val="14"/>
            </w:pPr>
            <w:r>
              <w:t>宣传完成率（%）</w:t>
            </w:r>
          </w:p>
        </w:tc>
        <w:tc>
          <w:tcPr>
            <w:tcW w:w="2268" w:type="dxa"/>
            <w:vAlign w:val="center"/>
          </w:tcPr>
          <w:p>
            <w:pPr>
              <w:pStyle w:val="14"/>
            </w:pPr>
            <w:r>
              <w:t>100%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宣传影响力</w:t>
            </w:r>
          </w:p>
        </w:tc>
        <w:tc>
          <w:tcPr>
            <w:tcW w:w="5386" w:type="dxa"/>
            <w:vAlign w:val="center"/>
          </w:tcPr>
          <w:p>
            <w:pPr>
              <w:pStyle w:val="14"/>
            </w:pPr>
            <w:r>
              <w:t>宣传影响力</w:t>
            </w:r>
          </w:p>
        </w:tc>
        <w:tc>
          <w:tcPr>
            <w:tcW w:w="2268" w:type="dxa"/>
            <w:vAlign w:val="center"/>
          </w:tcPr>
          <w:p>
            <w:pPr>
              <w:pStyle w:val="14"/>
            </w:pPr>
            <w:r>
              <w:t>有所提升</w:t>
            </w: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23、青春唐山服务号维护经费绩效目标表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13020024P00762610001G</w:t>
            </w:r>
          </w:p>
        </w:tc>
        <w:tc>
          <w:tcPr>
            <w:tcW w:w="2835" w:type="dxa"/>
            <w:vAlign w:val="center"/>
          </w:tcPr>
          <w:p>
            <w:pPr>
              <w:pStyle w:val="12"/>
            </w:pPr>
            <w:r>
              <w:t>项目名称</w:t>
            </w:r>
          </w:p>
        </w:tc>
        <w:tc>
          <w:tcPr>
            <w:tcW w:w="6094" w:type="dxa"/>
            <w:gridSpan w:val="3"/>
            <w:vAlign w:val="center"/>
          </w:tcPr>
          <w:p>
            <w:pPr>
              <w:pStyle w:val="14"/>
            </w:pPr>
            <w:r>
              <w:t>青春唐山服务号维护经费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w:t>
            </w:r>
          </w:p>
        </w:tc>
        <w:tc>
          <w:tcPr>
            <w:tcW w:w="2835" w:type="dxa"/>
            <w:vAlign w:val="center"/>
          </w:tcPr>
          <w:p>
            <w:pPr>
              <w:pStyle w:val="12"/>
            </w:pPr>
            <w:r>
              <w:t>其中：财政    资金</w:t>
            </w:r>
          </w:p>
        </w:tc>
        <w:tc>
          <w:tcPr>
            <w:tcW w:w="2551" w:type="dxa"/>
            <w:vAlign w:val="center"/>
          </w:tcPr>
          <w:p>
            <w:pPr>
              <w:pStyle w:val="14"/>
            </w:pPr>
            <w:r>
              <w:t>16.00</w:t>
            </w:r>
          </w:p>
        </w:tc>
        <w:tc>
          <w:tcPr>
            <w:tcW w:w="2268" w:type="dxa"/>
            <w:vAlign w:val="center"/>
          </w:tcPr>
          <w:p>
            <w:pPr>
              <w:pStyle w:val="12"/>
            </w:pPr>
            <w:r>
              <w:t>其他资金</w:t>
            </w:r>
          </w:p>
        </w:tc>
        <w:tc>
          <w:tcPr>
            <w:tcW w:w="1276" w:type="dxa"/>
            <w:vAlign w:val="center"/>
          </w:tcPr>
          <w:p>
            <w:pPr>
              <w:pStyle w:val="14"/>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维护经费16万元，用于青春唐山服务号的运行和维护。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30%</w:t>
            </w:r>
          </w:p>
        </w:tc>
        <w:tc>
          <w:tcPr>
            <w:tcW w:w="2835" w:type="dxa"/>
            <w:vAlign w:val="center"/>
          </w:tcPr>
          <w:p>
            <w:pPr>
              <w:pStyle w:val="15"/>
            </w:pPr>
            <w:r>
              <w:t>65%</w:t>
            </w:r>
          </w:p>
        </w:tc>
        <w:tc>
          <w:tcPr>
            <w:tcW w:w="2551" w:type="dxa"/>
            <w:vAlign w:val="center"/>
          </w:tcPr>
          <w:p>
            <w:pPr>
              <w:pStyle w:val="15"/>
            </w:pPr>
            <w:r>
              <w:t>90%</w:t>
            </w:r>
          </w:p>
        </w:tc>
        <w:tc>
          <w:tcPr>
            <w:tcW w:w="3543"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1.主要用于网络信息系统运行维护支出</w:t>
            </w:r>
            <w:r>
              <w:tab/>
            </w:r>
            <w:r>
              <w:tab/>
            </w:r>
            <w:r>
              <w:tab/>
            </w:r>
            <w:r>
              <w:tab/>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5386" w:type="dxa"/>
            <w:vAlign w:val="center"/>
          </w:tcPr>
          <w:p>
            <w:pPr>
              <w:pStyle w:val="14"/>
            </w:pPr>
            <w:r>
              <w:t>网络运行维护覆盖率（%）</w:t>
            </w:r>
          </w:p>
        </w:tc>
        <w:tc>
          <w:tcPr>
            <w:tcW w:w="2268" w:type="dxa"/>
            <w:vAlign w:val="center"/>
          </w:tcPr>
          <w:p>
            <w:pPr>
              <w:pStyle w:val="14"/>
            </w:pPr>
            <w:r>
              <w:t>100%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5386" w:type="dxa"/>
            <w:vAlign w:val="center"/>
          </w:tcPr>
          <w:p>
            <w:pPr>
              <w:pStyle w:val="14"/>
            </w:pPr>
            <w:r>
              <w:t>验收合格合格率（%）</w:t>
            </w:r>
          </w:p>
        </w:tc>
        <w:tc>
          <w:tcPr>
            <w:tcW w:w="2268" w:type="dxa"/>
            <w:vAlign w:val="center"/>
          </w:tcPr>
          <w:p>
            <w:pPr>
              <w:pStyle w:val="14"/>
            </w:pPr>
            <w:r>
              <w:t>100%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5386" w:type="dxa"/>
            <w:vAlign w:val="center"/>
          </w:tcPr>
          <w:p>
            <w:pPr>
              <w:pStyle w:val="14"/>
            </w:pPr>
            <w:r>
              <w:t>预算执行率</w:t>
            </w:r>
          </w:p>
        </w:tc>
        <w:tc>
          <w:tcPr>
            <w:tcW w:w="2268" w:type="dxa"/>
            <w:vAlign w:val="center"/>
          </w:tcPr>
          <w:p>
            <w:pPr>
              <w:pStyle w:val="14"/>
            </w:pPr>
            <w:r>
              <w:t>≥90%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2024年12月31日</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5386" w:type="dxa"/>
            <w:vAlign w:val="center"/>
          </w:tcPr>
          <w:p>
            <w:pPr>
              <w:pStyle w:val="14"/>
            </w:pPr>
            <w:r>
              <w:t>设备使用率（%）</w:t>
            </w:r>
          </w:p>
        </w:tc>
        <w:tc>
          <w:tcPr>
            <w:tcW w:w="2268" w:type="dxa"/>
            <w:vAlign w:val="center"/>
          </w:tcPr>
          <w:p>
            <w:pPr>
              <w:pStyle w:val="14"/>
            </w:pPr>
            <w:r>
              <w:t>≥90%</w:t>
            </w:r>
          </w:p>
        </w:tc>
        <w:tc>
          <w:tcPr>
            <w:tcW w:w="1276" w:type="dxa"/>
            <w:vAlign w:val="center"/>
          </w:tcPr>
          <w:p>
            <w:pPr>
              <w:pStyle w:val="14"/>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8.72</w:t>
            </w:r>
          </w:p>
        </w:tc>
        <w:tc>
          <w:tcPr>
            <w:tcW w:w="964" w:type="dxa"/>
            <w:vAlign w:val="center"/>
          </w:tcPr>
          <w:p>
            <w:pPr>
              <w:pStyle w:val="17"/>
            </w:pPr>
            <w:r>
              <w:t>8.72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中国共产主义青年团唐山市委员会本级小计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4.52</w:t>
            </w:r>
          </w:p>
        </w:tc>
        <w:tc>
          <w:tcPr>
            <w:tcW w:w="964" w:type="dxa"/>
            <w:vAlign w:val="center"/>
          </w:tcPr>
          <w:p>
            <w:pPr>
              <w:pStyle w:val="17"/>
            </w:pPr>
            <w:r>
              <w:t>4.52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14.04</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个</w:t>
            </w:r>
          </w:p>
        </w:tc>
        <w:tc>
          <w:tcPr>
            <w:tcW w:w="850" w:type="dxa"/>
            <w:vAlign w:val="center"/>
          </w:tcPr>
          <w:p>
            <w:pPr>
              <w:pStyle w:val="13"/>
            </w:pPr>
            <w:r>
              <w:t>15</w:t>
            </w:r>
          </w:p>
        </w:tc>
        <w:tc>
          <w:tcPr>
            <w:tcW w:w="850" w:type="dxa"/>
            <w:vAlign w:val="center"/>
          </w:tcPr>
          <w:p>
            <w:pPr>
              <w:pStyle w:val="13"/>
            </w:pPr>
            <w:r>
              <w:t>0.04</w:t>
            </w:r>
          </w:p>
        </w:tc>
        <w:tc>
          <w:tcPr>
            <w:tcW w:w="964" w:type="dxa"/>
            <w:vAlign w:val="center"/>
          </w:tcPr>
          <w:p>
            <w:pPr>
              <w:pStyle w:val="13"/>
            </w:pPr>
            <w:r>
              <w:t>0.57</w:t>
            </w:r>
          </w:p>
        </w:tc>
        <w:tc>
          <w:tcPr>
            <w:tcW w:w="964" w:type="dxa"/>
            <w:vAlign w:val="center"/>
          </w:tcPr>
          <w:p>
            <w:pPr>
              <w:pStyle w:val="13"/>
            </w:pPr>
            <w:r>
              <w:t>0.57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14.04</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0.85</w:t>
            </w:r>
          </w:p>
        </w:tc>
        <w:tc>
          <w:tcPr>
            <w:tcW w:w="964" w:type="dxa"/>
            <w:vAlign w:val="center"/>
          </w:tcPr>
          <w:p>
            <w:pPr>
              <w:pStyle w:val="13"/>
            </w:pPr>
            <w:r>
              <w:t>0.85</w:t>
            </w:r>
          </w:p>
        </w:tc>
        <w:tc>
          <w:tcPr>
            <w:tcW w:w="964" w:type="dxa"/>
            <w:vAlign w:val="center"/>
          </w:tcPr>
          <w:p>
            <w:pPr>
              <w:pStyle w:val="13"/>
            </w:pPr>
            <w:r>
              <w:t>0.85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电子设备维护费</w:t>
            </w:r>
          </w:p>
        </w:tc>
        <w:tc>
          <w:tcPr>
            <w:tcW w:w="964" w:type="dxa"/>
            <w:vAlign w:val="center"/>
          </w:tcPr>
          <w:p>
            <w:pPr>
              <w:pStyle w:val="13"/>
            </w:pPr>
            <w:r>
              <w:t>0.80</w:t>
            </w:r>
          </w:p>
        </w:tc>
        <w:tc>
          <w:tcPr>
            <w:tcW w:w="1134" w:type="dxa"/>
            <w:vAlign w:val="center"/>
          </w:tcPr>
          <w:p>
            <w:pPr>
              <w:pStyle w:val="14"/>
            </w:pPr>
            <w:r>
              <w:t>软件运维服务</w:t>
            </w:r>
          </w:p>
        </w:tc>
        <w:tc>
          <w:tcPr>
            <w:tcW w:w="1134" w:type="dxa"/>
            <w:vAlign w:val="center"/>
          </w:tcPr>
          <w:p>
            <w:pPr>
              <w:pStyle w:val="14"/>
            </w:pPr>
            <w:r>
              <w:t>C16070300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基层组织与基层建设专项调研</w:t>
            </w:r>
          </w:p>
        </w:tc>
        <w:tc>
          <w:tcPr>
            <w:tcW w:w="964" w:type="dxa"/>
            <w:vAlign w:val="center"/>
          </w:tcPr>
          <w:p>
            <w:pPr>
              <w:pStyle w:val="13"/>
            </w:pPr>
            <w:r>
              <w:t>3.08</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0.80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纪念五四活动经费</w:t>
            </w:r>
          </w:p>
        </w:tc>
        <w:tc>
          <w:tcPr>
            <w:tcW w:w="964" w:type="dxa"/>
            <w:vAlign w:val="center"/>
          </w:tcPr>
          <w:p>
            <w:pPr>
              <w:pStyle w:val="13"/>
            </w:pPr>
            <w:r>
              <w:t>5.00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唐山市希望工程管理中心小计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0.15</w:t>
            </w:r>
          </w:p>
        </w:tc>
        <w:tc>
          <w:tcPr>
            <w:tcW w:w="964" w:type="dxa"/>
            <w:vAlign w:val="center"/>
          </w:tcPr>
          <w:p>
            <w:pPr>
              <w:pStyle w:val="17"/>
            </w:pPr>
            <w:r>
              <w:t>0.15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1.81</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唐山市青少年宫小计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3.75</w:t>
            </w:r>
          </w:p>
        </w:tc>
        <w:tc>
          <w:tcPr>
            <w:tcW w:w="964" w:type="dxa"/>
            <w:vAlign w:val="center"/>
          </w:tcPr>
          <w:p>
            <w:pPr>
              <w:pStyle w:val="17"/>
            </w:pPr>
            <w:r>
              <w:t>3.75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移动存储设备</w:t>
            </w:r>
          </w:p>
        </w:tc>
        <w:tc>
          <w:tcPr>
            <w:tcW w:w="1134" w:type="dxa"/>
            <w:vAlign w:val="center"/>
          </w:tcPr>
          <w:p>
            <w:pPr>
              <w:pStyle w:val="14"/>
            </w:pPr>
            <w:r>
              <w:t>A02010508</w:t>
            </w:r>
          </w:p>
        </w:tc>
        <w:tc>
          <w:tcPr>
            <w:tcW w:w="709" w:type="dxa"/>
            <w:vAlign w:val="center"/>
          </w:tcPr>
          <w:p>
            <w:pPr>
              <w:pStyle w:val="15"/>
            </w:pPr>
            <w:r>
              <w:t>盒</w:t>
            </w:r>
          </w:p>
        </w:tc>
        <w:tc>
          <w:tcPr>
            <w:tcW w:w="850" w:type="dxa"/>
            <w:vAlign w:val="center"/>
          </w:tcPr>
          <w:p>
            <w:pPr>
              <w:pStyle w:val="13"/>
            </w:pPr>
            <w:r>
              <w:t>5</w:t>
            </w:r>
          </w:p>
        </w:tc>
        <w:tc>
          <w:tcPr>
            <w:tcW w:w="850" w:type="dxa"/>
            <w:vAlign w:val="center"/>
          </w:tcPr>
          <w:p>
            <w:pPr>
              <w:pStyle w:val="13"/>
            </w:pPr>
            <w:r>
              <w:t>0.01</w:t>
            </w:r>
          </w:p>
        </w:tc>
        <w:tc>
          <w:tcPr>
            <w:tcW w:w="964" w:type="dxa"/>
            <w:vAlign w:val="center"/>
          </w:tcPr>
          <w:p>
            <w:pPr>
              <w:pStyle w:val="13"/>
            </w:pPr>
            <w:r>
              <w:t>0.05</w:t>
            </w:r>
          </w:p>
        </w:tc>
        <w:tc>
          <w:tcPr>
            <w:tcW w:w="964" w:type="dxa"/>
            <w:vAlign w:val="center"/>
          </w:tcPr>
          <w:p>
            <w:pPr>
              <w:pStyle w:val="13"/>
            </w:pPr>
            <w:r>
              <w:t>0.05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移动存储设备</w:t>
            </w:r>
          </w:p>
        </w:tc>
        <w:tc>
          <w:tcPr>
            <w:tcW w:w="1134" w:type="dxa"/>
            <w:vAlign w:val="center"/>
          </w:tcPr>
          <w:p>
            <w:pPr>
              <w:pStyle w:val="14"/>
            </w:pPr>
            <w:r>
              <w:t>A02010508</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0.01</w:t>
            </w:r>
          </w:p>
        </w:tc>
        <w:tc>
          <w:tcPr>
            <w:tcW w:w="964" w:type="dxa"/>
            <w:vAlign w:val="center"/>
          </w:tcPr>
          <w:p>
            <w:pPr>
              <w:pStyle w:val="13"/>
            </w:pPr>
            <w:r>
              <w:t>0.04</w:t>
            </w:r>
          </w:p>
        </w:tc>
        <w:tc>
          <w:tcPr>
            <w:tcW w:w="964" w:type="dxa"/>
            <w:vAlign w:val="center"/>
          </w:tcPr>
          <w:p>
            <w:pPr>
              <w:pStyle w:val="13"/>
            </w:pPr>
            <w:r>
              <w:t>0.04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移动存储设备</w:t>
            </w:r>
          </w:p>
        </w:tc>
        <w:tc>
          <w:tcPr>
            <w:tcW w:w="1134" w:type="dxa"/>
            <w:vAlign w:val="center"/>
          </w:tcPr>
          <w:p>
            <w:pPr>
              <w:pStyle w:val="14"/>
            </w:pPr>
            <w:r>
              <w:t>A02010508</w:t>
            </w:r>
          </w:p>
        </w:tc>
        <w:tc>
          <w:tcPr>
            <w:tcW w:w="709" w:type="dxa"/>
            <w:vAlign w:val="center"/>
          </w:tcPr>
          <w:p>
            <w:pPr>
              <w:pStyle w:val="15"/>
            </w:pPr>
            <w:r>
              <w:t>个</w:t>
            </w:r>
          </w:p>
        </w:tc>
        <w:tc>
          <w:tcPr>
            <w:tcW w:w="850" w:type="dxa"/>
            <w:vAlign w:val="center"/>
          </w:tcPr>
          <w:p>
            <w:pPr>
              <w:pStyle w:val="13"/>
            </w:pPr>
            <w:r>
              <w:t>3</w:t>
            </w:r>
          </w:p>
        </w:tc>
        <w:tc>
          <w:tcPr>
            <w:tcW w:w="850" w:type="dxa"/>
            <w:vAlign w:val="center"/>
          </w:tcPr>
          <w:p>
            <w:pPr>
              <w:pStyle w:val="13"/>
            </w:pPr>
            <w:r>
              <w:t>0.04</w:t>
            </w:r>
          </w:p>
        </w:tc>
        <w:tc>
          <w:tcPr>
            <w:tcW w:w="964" w:type="dxa"/>
            <w:vAlign w:val="center"/>
          </w:tcPr>
          <w:p>
            <w:pPr>
              <w:pStyle w:val="13"/>
            </w:pPr>
            <w:r>
              <w:t>0.12</w:t>
            </w:r>
          </w:p>
        </w:tc>
        <w:tc>
          <w:tcPr>
            <w:tcW w:w="964" w:type="dxa"/>
            <w:vAlign w:val="center"/>
          </w:tcPr>
          <w:p>
            <w:pPr>
              <w:pStyle w:val="13"/>
            </w:pPr>
            <w:r>
              <w:t>0.12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办公设备零部件</w:t>
            </w:r>
          </w:p>
        </w:tc>
        <w:tc>
          <w:tcPr>
            <w:tcW w:w="1134" w:type="dxa"/>
            <w:vAlign w:val="center"/>
          </w:tcPr>
          <w:p>
            <w:pPr>
              <w:pStyle w:val="14"/>
            </w:pPr>
            <w:r>
              <w:t>A02021700</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0.01</w:t>
            </w:r>
          </w:p>
        </w:tc>
        <w:tc>
          <w:tcPr>
            <w:tcW w:w="964" w:type="dxa"/>
            <w:vAlign w:val="center"/>
          </w:tcPr>
          <w:p>
            <w:pPr>
              <w:pStyle w:val="13"/>
            </w:pPr>
            <w:r>
              <w:t>0.09</w:t>
            </w:r>
          </w:p>
        </w:tc>
        <w:tc>
          <w:tcPr>
            <w:tcW w:w="964" w:type="dxa"/>
            <w:vAlign w:val="center"/>
          </w:tcPr>
          <w:p>
            <w:pPr>
              <w:pStyle w:val="13"/>
            </w:pPr>
            <w:r>
              <w:t>0.09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5</w:t>
            </w:r>
          </w:p>
        </w:tc>
        <w:tc>
          <w:tcPr>
            <w:tcW w:w="850" w:type="dxa"/>
            <w:vAlign w:val="center"/>
          </w:tcPr>
          <w:p>
            <w:pPr>
              <w:pStyle w:val="13"/>
            </w:pPr>
            <w:r>
              <w:t>0.02</w:t>
            </w:r>
          </w:p>
        </w:tc>
        <w:tc>
          <w:tcPr>
            <w:tcW w:w="964" w:type="dxa"/>
            <w:vAlign w:val="center"/>
          </w:tcPr>
          <w:p>
            <w:pPr>
              <w:pStyle w:val="13"/>
            </w:pPr>
            <w:r>
              <w:t>0.11</w:t>
            </w:r>
          </w:p>
        </w:tc>
        <w:tc>
          <w:tcPr>
            <w:tcW w:w="964" w:type="dxa"/>
            <w:vAlign w:val="center"/>
          </w:tcPr>
          <w:p>
            <w:pPr>
              <w:pStyle w:val="13"/>
            </w:pPr>
            <w:r>
              <w:t>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0.01</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墨粉盒</w:t>
            </w:r>
          </w:p>
        </w:tc>
        <w:tc>
          <w:tcPr>
            <w:tcW w:w="1134" w:type="dxa"/>
            <w:vAlign w:val="center"/>
          </w:tcPr>
          <w:p>
            <w:pPr>
              <w:pStyle w:val="14"/>
            </w:pPr>
            <w:r>
              <w:t>A05040202</w:t>
            </w:r>
          </w:p>
        </w:tc>
        <w:tc>
          <w:tcPr>
            <w:tcW w:w="709" w:type="dxa"/>
            <w:vAlign w:val="center"/>
          </w:tcPr>
          <w:p>
            <w:pPr>
              <w:pStyle w:val="15"/>
            </w:pPr>
            <w:r>
              <w:t>个</w:t>
            </w:r>
          </w:p>
        </w:tc>
        <w:tc>
          <w:tcPr>
            <w:tcW w:w="850" w:type="dxa"/>
            <w:vAlign w:val="center"/>
          </w:tcPr>
          <w:p>
            <w:pPr>
              <w:pStyle w:val="13"/>
            </w:pPr>
            <w:r>
              <w:t>8</w:t>
            </w:r>
          </w:p>
        </w:tc>
        <w:tc>
          <w:tcPr>
            <w:tcW w:w="850" w:type="dxa"/>
            <w:vAlign w:val="center"/>
          </w:tcPr>
          <w:p>
            <w:pPr>
              <w:pStyle w:val="13"/>
            </w:pPr>
            <w:r>
              <w:t>0.02</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0.02</w:t>
            </w:r>
          </w:p>
        </w:tc>
        <w:tc>
          <w:tcPr>
            <w:tcW w:w="964" w:type="dxa"/>
            <w:vAlign w:val="center"/>
          </w:tcPr>
          <w:p>
            <w:pPr>
              <w:pStyle w:val="13"/>
            </w:pPr>
            <w:r>
              <w:t>0.24</w:t>
            </w:r>
          </w:p>
        </w:tc>
        <w:tc>
          <w:tcPr>
            <w:tcW w:w="964" w:type="dxa"/>
            <w:vAlign w:val="center"/>
          </w:tcPr>
          <w:p>
            <w:pPr>
              <w:pStyle w:val="13"/>
            </w:pPr>
            <w:r>
              <w:t>0.24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墨水</w:t>
            </w:r>
          </w:p>
        </w:tc>
        <w:tc>
          <w:tcPr>
            <w:tcW w:w="1134" w:type="dxa"/>
            <w:vAlign w:val="center"/>
          </w:tcPr>
          <w:p>
            <w:pPr>
              <w:pStyle w:val="14"/>
            </w:pPr>
            <w:r>
              <w:t>A05040301</w:t>
            </w:r>
          </w:p>
        </w:tc>
        <w:tc>
          <w:tcPr>
            <w:tcW w:w="709" w:type="dxa"/>
            <w:vAlign w:val="center"/>
          </w:tcPr>
          <w:p>
            <w:pPr>
              <w:pStyle w:val="15"/>
            </w:pPr>
            <w:r>
              <w:t>支</w:t>
            </w:r>
          </w:p>
        </w:tc>
        <w:tc>
          <w:tcPr>
            <w:tcW w:w="850" w:type="dxa"/>
            <w:vAlign w:val="center"/>
          </w:tcPr>
          <w:p>
            <w:pPr>
              <w:pStyle w:val="13"/>
            </w:pPr>
            <w:r>
              <w:t>8</w:t>
            </w:r>
          </w:p>
        </w:tc>
        <w:tc>
          <w:tcPr>
            <w:tcW w:w="850" w:type="dxa"/>
            <w:vAlign w:val="center"/>
          </w:tcPr>
          <w:p>
            <w:pPr>
              <w:pStyle w:val="13"/>
            </w:pPr>
            <w:r>
              <w:t>0.01</w:t>
            </w:r>
          </w:p>
        </w:tc>
        <w:tc>
          <w:tcPr>
            <w:tcW w:w="964" w:type="dxa"/>
            <w:vAlign w:val="center"/>
          </w:tcPr>
          <w:p>
            <w:pPr>
              <w:pStyle w:val="13"/>
            </w:pPr>
            <w:r>
              <w:t>0.06</w:t>
            </w:r>
          </w:p>
        </w:tc>
        <w:tc>
          <w:tcPr>
            <w:tcW w:w="964" w:type="dxa"/>
            <w:vAlign w:val="center"/>
          </w:tcPr>
          <w:p>
            <w:pPr>
              <w:pStyle w:val="13"/>
            </w:pPr>
            <w:r>
              <w:t>0.06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其他文教用品</w:t>
            </w:r>
          </w:p>
        </w:tc>
        <w:tc>
          <w:tcPr>
            <w:tcW w:w="1134" w:type="dxa"/>
            <w:vAlign w:val="center"/>
          </w:tcPr>
          <w:p>
            <w:pPr>
              <w:pStyle w:val="14"/>
            </w:pPr>
            <w:r>
              <w:t>A05040499</w:t>
            </w:r>
          </w:p>
        </w:tc>
        <w:tc>
          <w:tcPr>
            <w:tcW w:w="709" w:type="dxa"/>
            <w:vAlign w:val="center"/>
          </w:tcPr>
          <w:p>
            <w:pPr>
              <w:pStyle w:val="15"/>
            </w:pPr>
            <w:r>
              <w:t>个</w:t>
            </w:r>
          </w:p>
        </w:tc>
        <w:tc>
          <w:tcPr>
            <w:tcW w:w="850" w:type="dxa"/>
            <w:vAlign w:val="center"/>
          </w:tcPr>
          <w:p>
            <w:pPr>
              <w:pStyle w:val="13"/>
            </w:pPr>
            <w:r>
              <w:t>45</w:t>
            </w:r>
          </w:p>
        </w:tc>
        <w:tc>
          <w:tcPr>
            <w:tcW w:w="850" w:type="dxa"/>
            <w:vAlign w:val="center"/>
          </w:tcPr>
          <w:p>
            <w:pPr>
              <w:pStyle w:val="13"/>
            </w:pPr>
            <w:r>
              <w:t>0.00</w:t>
            </w:r>
          </w:p>
        </w:tc>
        <w:tc>
          <w:tcPr>
            <w:tcW w:w="964" w:type="dxa"/>
            <w:vAlign w:val="center"/>
          </w:tcPr>
          <w:p>
            <w:pPr>
              <w:pStyle w:val="13"/>
            </w:pPr>
            <w:r>
              <w:t>0.07</w:t>
            </w:r>
          </w:p>
        </w:tc>
        <w:tc>
          <w:tcPr>
            <w:tcW w:w="964" w:type="dxa"/>
            <w:vAlign w:val="center"/>
          </w:tcPr>
          <w:p>
            <w:pPr>
              <w:pStyle w:val="13"/>
            </w:pPr>
            <w:r>
              <w:t>0.07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培训服务</w:t>
            </w:r>
          </w:p>
        </w:tc>
        <w:tc>
          <w:tcPr>
            <w:tcW w:w="1134" w:type="dxa"/>
            <w:vAlign w:val="center"/>
          </w:tcPr>
          <w:p>
            <w:pPr>
              <w:pStyle w:val="14"/>
            </w:pPr>
            <w:r>
              <w:t>C02060000</w:t>
            </w:r>
          </w:p>
        </w:tc>
        <w:tc>
          <w:tcPr>
            <w:tcW w:w="709" w:type="dxa"/>
            <w:vAlign w:val="center"/>
          </w:tcPr>
          <w:p>
            <w:pPr>
              <w:pStyle w:val="15"/>
            </w:pPr>
            <w:r>
              <w:t>无</w:t>
            </w:r>
          </w:p>
        </w:tc>
        <w:tc>
          <w:tcPr>
            <w:tcW w:w="850" w:type="dxa"/>
            <w:vAlign w:val="center"/>
          </w:tcPr>
          <w:p>
            <w:pPr>
              <w:pStyle w:val="13"/>
            </w:pPr>
            <w:r>
              <w:t>1</w:t>
            </w:r>
          </w:p>
        </w:tc>
        <w:tc>
          <w:tcPr>
            <w:tcW w:w="850" w:type="dxa"/>
            <w:vAlign w:val="center"/>
          </w:tcPr>
          <w:p>
            <w:pPr>
              <w:pStyle w:val="13"/>
            </w:pPr>
            <w:r>
              <w:t>1.71</w:t>
            </w:r>
          </w:p>
        </w:tc>
        <w:tc>
          <w:tcPr>
            <w:tcW w:w="964" w:type="dxa"/>
            <w:vAlign w:val="center"/>
          </w:tcPr>
          <w:p>
            <w:pPr>
              <w:pStyle w:val="13"/>
            </w:pPr>
            <w:r>
              <w:t>1.71</w:t>
            </w:r>
          </w:p>
        </w:tc>
        <w:tc>
          <w:tcPr>
            <w:tcW w:w="964" w:type="dxa"/>
            <w:vAlign w:val="center"/>
          </w:tcPr>
          <w:p>
            <w:pPr>
              <w:pStyle w:val="13"/>
            </w:pPr>
            <w:r>
              <w:t>1.71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15.43</w:t>
            </w:r>
          </w:p>
        </w:tc>
        <w:tc>
          <w:tcPr>
            <w:tcW w:w="1134" w:type="dxa"/>
            <w:vAlign w:val="center"/>
          </w:tcPr>
          <w:p>
            <w:pPr>
              <w:pStyle w:val="14"/>
            </w:pPr>
            <w:r>
              <w:t>基础电信服务</w:t>
            </w:r>
          </w:p>
        </w:tc>
        <w:tc>
          <w:tcPr>
            <w:tcW w:w="1134" w:type="dxa"/>
            <w:vAlign w:val="center"/>
          </w:tcPr>
          <w:p>
            <w:pPr>
              <w:pStyle w:val="14"/>
            </w:pPr>
            <w:r>
              <w:t>C17010100</w:t>
            </w:r>
          </w:p>
        </w:tc>
        <w:tc>
          <w:tcPr>
            <w:tcW w:w="709" w:type="dxa"/>
            <w:vAlign w:val="center"/>
          </w:tcPr>
          <w:p>
            <w:pPr>
              <w:pStyle w:val="15"/>
            </w:pPr>
            <w:r>
              <w:t>无</w:t>
            </w:r>
          </w:p>
        </w:tc>
        <w:tc>
          <w:tcPr>
            <w:tcW w:w="850" w:type="dxa"/>
            <w:vAlign w:val="center"/>
          </w:tcPr>
          <w:p>
            <w:pPr>
              <w:pStyle w:val="13"/>
            </w:pPr>
            <w:r>
              <w:t>1</w:t>
            </w:r>
          </w:p>
        </w:tc>
        <w:tc>
          <w:tcPr>
            <w:tcW w:w="850" w:type="dxa"/>
            <w:vAlign w:val="center"/>
          </w:tcPr>
          <w:p>
            <w:pPr>
              <w:pStyle w:val="13"/>
            </w:pPr>
            <w:r>
              <w:t>0.91</w:t>
            </w:r>
          </w:p>
        </w:tc>
        <w:tc>
          <w:tcPr>
            <w:tcW w:w="964" w:type="dxa"/>
            <w:vAlign w:val="center"/>
          </w:tcPr>
          <w:p>
            <w:pPr>
              <w:pStyle w:val="13"/>
            </w:pPr>
            <w:r>
              <w:t>0.91</w:t>
            </w:r>
          </w:p>
        </w:tc>
        <w:tc>
          <w:tcPr>
            <w:tcW w:w="964" w:type="dxa"/>
            <w:vAlign w:val="center"/>
          </w:tcPr>
          <w:p>
            <w:pPr>
              <w:pStyle w:val="13"/>
            </w:pPr>
            <w:r>
              <w:t>0.91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唐山市青年发展促进中心小计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日常公用经费（三保）</w:t>
            </w:r>
          </w:p>
        </w:tc>
        <w:tc>
          <w:tcPr>
            <w:tcW w:w="964" w:type="dxa"/>
            <w:vAlign w:val="center"/>
          </w:tcPr>
          <w:p>
            <w:pPr>
              <w:pStyle w:val="13"/>
            </w:pPr>
            <w:r>
              <w:t>3.75</w:t>
            </w:r>
          </w:p>
        </w:tc>
        <w:tc>
          <w:tcPr>
            <w:tcW w:w="1134" w:type="dxa"/>
            <w:vAlign w:val="center"/>
          </w:tcPr>
          <w:p>
            <w:pPr>
              <w:pStyle w:val="14"/>
            </w:pPr>
            <w:r>
              <w:t>其他硒鼓、粉盒</w:t>
            </w:r>
          </w:p>
        </w:tc>
        <w:tc>
          <w:tcPr>
            <w:tcW w:w="1134" w:type="dxa"/>
            <w:vAlign w:val="center"/>
          </w:tcPr>
          <w:p>
            <w:pPr>
              <w:pStyle w:val="14"/>
            </w:pPr>
            <w:r>
              <w:t>A05040299</w:t>
            </w:r>
          </w:p>
        </w:tc>
        <w:tc>
          <w:tcPr>
            <w:tcW w:w="709" w:type="dxa"/>
            <w:vAlign w:val="center"/>
          </w:tcPr>
          <w:p>
            <w:pPr>
              <w:pStyle w:val="15"/>
            </w:pPr>
            <w:r>
              <w:t>个</w:t>
            </w:r>
          </w:p>
        </w:tc>
        <w:tc>
          <w:tcPr>
            <w:tcW w:w="850" w:type="dxa"/>
            <w:vAlign w:val="center"/>
          </w:tcPr>
          <w:p>
            <w:pPr>
              <w:pStyle w:val="13"/>
            </w:pPr>
            <w:r>
              <w:t>30</w:t>
            </w:r>
          </w:p>
        </w:tc>
        <w:tc>
          <w:tcPr>
            <w:tcW w:w="850" w:type="dxa"/>
            <w:vAlign w:val="center"/>
          </w:tcPr>
          <w:p>
            <w:pPr>
              <w:pStyle w:val="13"/>
            </w:pPr>
            <w:r>
              <w:t>0.01</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中国共产主义青年团唐山市委员会（含所属单位）上年末固定资产金额为32793.98万元（详见下表）。本年度拟购置固定资产总额为0.00万元，已按要求列入政府采购预算，详见政府采购预算表。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403中国共产主义青年团唐山市委员会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32793.98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36318</w:t>
            </w:r>
          </w:p>
        </w:tc>
        <w:tc>
          <w:tcPr>
            <w:tcW w:w="2835" w:type="dxa"/>
            <w:vAlign w:val="center"/>
          </w:tcPr>
          <w:p>
            <w:pPr>
              <w:pStyle w:val="13"/>
            </w:pPr>
            <w:r>
              <w:t>31330.02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400</w:t>
            </w:r>
          </w:p>
        </w:tc>
        <w:tc>
          <w:tcPr>
            <w:tcW w:w="2835" w:type="dxa"/>
            <w:vAlign w:val="center"/>
          </w:tcPr>
          <w:p>
            <w:pPr>
              <w:pStyle w:val="13"/>
            </w:pPr>
            <w:r>
              <w:t>345.06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11</w:t>
            </w:r>
          </w:p>
        </w:tc>
        <w:tc>
          <w:tcPr>
            <w:tcW w:w="2835" w:type="dxa"/>
            <w:vAlign w:val="center"/>
          </w:tcPr>
          <w:p>
            <w:pPr>
              <w:pStyle w:val="13"/>
            </w:pPr>
            <w:r>
              <w:t>527.71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4360</w:t>
            </w:r>
          </w:p>
        </w:tc>
        <w:tc>
          <w:tcPr>
            <w:tcW w:w="2835" w:type="dxa"/>
            <w:vAlign w:val="center"/>
          </w:tcPr>
          <w:p>
            <w:pPr>
              <w:pStyle w:val="13"/>
            </w:pPr>
            <w:r>
              <w:t>936.24</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A08A3"/>
    <w:multiLevelType w:val="singleLevel"/>
    <w:tmpl w:val="8D1A08A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WM1MDdkYjZjZGZlOTRkODFlM2U0ODYwZTFkY2UifQ=="/>
  </w:docVars>
  <w:rsids>
    <w:rsidRoot w:val="00C26D48"/>
    <w:rsid w:val="00BA1A55"/>
    <w:rsid w:val="00C26D48"/>
    <w:rsid w:val="00EA21F4"/>
    <w:rsid w:val="02A37D34"/>
    <w:rsid w:val="045F303F"/>
    <w:rsid w:val="092E2FE0"/>
    <w:rsid w:val="0B5D195B"/>
    <w:rsid w:val="0BEC3D65"/>
    <w:rsid w:val="0E210EF6"/>
    <w:rsid w:val="1010343F"/>
    <w:rsid w:val="10871E30"/>
    <w:rsid w:val="10E248AF"/>
    <w:rsid w:val="12BD67FA"/>
    <w:rsid w:val="13542DC8"/>
    <w:rsid w:val="15EC04AB"/>
    <w:rsid w:val="165226B5"/>
    <w:rsid w:val="178A3AD7"/>
    <w:rsid w:val="18784278"/>
    <w:rsid w:val="1A7A42D7"/>
    <w:rsid w:val="1C1F33D0"/>
    <w:rsid w:val="1CF26140"/>
    <w:rsid w:val="20CC4387"/>
    <w:rsid w:val="2F9E23BE"/>
    <w:rsid w:val="2FF42143"/>
    <w:rsid w:val="30352CA7"/>
    <w:rsid w:val="31C46251"/>
    <w:rsid w:val="356674DA"/>
    <w:rsid w:val="36FF3742"/>
    <w:rsid w:val="39187DC0"/>
    <w:rsid w:val="393459B9"/>
    <w:rsid w:val="3AFB6916"/>
    <w:rsid w:val="3BCB453B"/>
    <w:rsid w:val="3D421203"/>
    <w:rsid w:val="3D4F470C"/>
    <w:rsid w:val="41CE268F"/>
    <w:rsid w:val="447E1DE4"/>
    <w:rsid w:val="45BB117C"/>
    <w:rsid w:val="46674E60"/>
    <w:rsid w:val="47113870"/>
    <w:rsid w:val="49E3107C"/>
    <w:rsid w:val="4B517E8D"/>
    <w:rsid w:val="4E9843F7"/>
    <w:rsid w:val="51595CED"/>
    <w:rsid w:val="540208BE"/>
    <w:rsid w:val="567E66F4"/>
    <w:rsid w:val="591075D9"/>
    <w:rsid w:val="5A364903"/>
    <w:rsid w:val="626E337E"/>
    <w:rsid w:val="64DE058B"/>
    <w:rsid w:val="67C577E1"/>
    <w:rsid w:val="69C9323C"/>
    <w:rsid w:val="6C8B28C2"/>
    <w:rsid w:val="6CEC5A82"/>
    <w:rsid w:val="77D042F3"/>
    <w:rsid w:val="7E192908"/>
    <w:rsid w:val="7FE5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3">
    <w:name w:val="index 9"/>
    <w:basedOn w:val="1"/>
    <w:next w:val="1"/>
    <w:qFormat/>
    <w:uiPriority w:val="0"/>
    <w:pPr>
      <w:ind w:left="3360"/>
    </w:pPr>
    <w:rPr>
      <w:rFonts w:ascii="Calibri" w:hAnsi="Calibri" w:eastAsia="宋体" w:cs="等线"/>
      <w:szCs w:val="21"/>
    </w:rPr>
  </w:style>
  <w:style w:type="paragraph" w:styleId="4">
    <w:name w:val="footer"/>
    <w:basedOn w:val="1"/>
    <w:link w:val="31"/>
    <w:autoRedefine/>
    <w:semiHidden/>
    <w:unhideWhenUsed/>
    <w:qFormat/>
    <w:uiPriority w:val="99"/>
    <w:pPr>
      <w:tabs>
        <w:tab w:val="center" w:pos="4153"/>
        <w:tab w:val="right" w:pos="8306"/>
      </w:tabs>
      <w:snapToGrid w:val="0"/>
    </w:pPr>
    <w:rPr>
      <w:sz w:val="18"/>
      <w:szCs w:val="18"/>
    </w:rPr>
  </w:style>
  <w:style w:type="paragraph" w:styleId="5">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1"/>
    <w:basedOn w:val="1"/>
    <w:autoRedefine/>
    <w:qFormat/>
    <w:uiPriority w:val="0"/>
    <w:pPr>
      <w:spacing w:before="120"/>
      <w:ind w:firstLine="560"/>
    </w:pPr>
    <w:rPr>
      <w:rFonts w:eastAsia="方正仿宋_GBK"/>
      <w:color w:val="000000"/>
      <w:sz w:val="28"/>
    </w:rPr>
  </w:style>
  <w:style w:type="character" w:customStyle="1" w:styleId="30">
    <w:name w:val="页眉 Char"/>
    <w:basedOn w:val="8"/>
    <w:link w:val="5"/>
    <w:autoRedefine/>
    <w:semiHidden/>
    <w:qFormat/>
    <w:uiPriority w:val="99"/>
    <w:rPr>
      <w:rFonts w:eastAsia="Times New Roman"/>
      <w:sz w:val="18"/>
      <w:szCs w:val="18"/>
      <w:lang w:eastAsia="uk-UA"/>
    </w:rPr>
  </w:style>
  <w:style w:type="character" w:customStyle="1" w:styleId="31">
    <w:name w:val="页脚 Char"/>
    <w:basedOn w:val="8"/>
    <w:link w:val="4"/>
    <w:autoRedefine/>
    <w:semiHidden/>
    <w:qFormat/>
    <w:uiPriority w:val="99"/>
    <w:rPr>
      <w:rFonts w:eastAsia="Times New Roman"/>
      <w:sz w:val="18"/>
      <w:szCs w:val="18"/>
      <w:lang w:eastAsia="uk-UA"/>
    </w:rPr>
  </w:style>
  <w:style w:type="paragraph" w:customStyle="1" w:styleId="32">
    <w:name w:val="列出段落1"/>
    <w:basedOn w:val="1"/>
    <w:autoRedefine/>
    <w:qFormat/>
    <w:uiPriority w:val="0"/>
    <w:pPr>
      <w:ind w:firstLine="420" w:firstLineChars="200"/>
    </w:pPr>
    <w:rPr>
      <w:rFonts w:ascii="Times New Roman" w:hAnsi="Times New Roman" w:eastAsia="宋体" w:cs="Times New Roman"/>
    </w:rPr>
  </w:style>
  <w:style w:type="paragraph" w:customStyle="1" w:styleId="33">
    <w:name w:val="Normal Indent"/>
    <w:basedOn w:val="1"/>
    <w:autoRedefine/>
    <w:qFormat/>
    <w:uiPriority w:val="0"/>
    <w:pPr>
      <w:spacing w:line="300" w:lineRule="auto"/>
      <w:ind w:firstLine="420" w:firstLineChars="200"/>
    </w:pPr>
    <w:rPr>
      <w:rFonts w:ascii="Times New Roman" w:hAnsi="Times New Roman" w:eastAsia="宋体" w:cs="Times New Roman"/>
      <w:szCs w:val="24"/>
    </w:rPr>
  </w:style>
  <w:style w:type="paragraph" w:customStyle="1" w:styleId="34">
    <w:name w:val="Plain Text1"/>
    <w:basedOn w:val="1"/>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2024-03-29T09:34:54Z</dcterms:created>
  <dcterms:modified xsi:type="dcterms:W3CDTF">2024-03-29T01:34:54Z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2024-03-29T09:34:47Z</dcterms:created>
  <dcterms:modified xsi:type="dcterms:W3CDTF">2024-03-29T01:34:47Z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2024-03-29T09:34:36Z</dcterms:created>
  <dcterms:modified xsi:type="dcterms:W3CDTF">2024-03-29T01:34:35Z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2024-03-29T09:34:47Z</dcterms:created>
  <dcterms:modified xsi:type="dcterms:W3CDTF">2024-03-29T01:34:47Z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Props1.xml><?xml version="1.0" encoding="utf-8"?>
<ds:datastoreItem xmlns:ds="http://schemas.openxmlformats.org/officeDocument/2006/customXml" ds:itemID="{42E7A685-5DFB-4109-9290-B0A229642CCA}">
  <ds:schemaRefs/>
</ds:datastoreItem>
</file>

<file path=customXml/itemProps10.xml><?xml version="1.0" encoding="utf-8"?>
<ds:datastoreItem xmlns:ds="http://schemas.openxmlformats.org/officeDocument/2006/customXml" ds:itemID="{189AA10B-3E55-46DB-83BB-8D50E2F2FE13}">
  <ds:schemaRefs/>
</ds:datastoreItem>
</file>

<file path=customXml/itemProps11.xml><?xml version="1.0" encoding="utf-8"?>
<ds:datastoreItem xmlns:ds="http://schemas.openxmlformats.org/officeDocument/2006/customXml" ds:itemID="{96F4B993-07CA-4A0D-9A19-20A339124F98}">
  <ds:schemaRefs/>
</ds:datastoreItem>
</file>

<file path=customXml/itemProps12.xml><?xml version="1.0" encoding="utf-8"?>
<ds:datastoreItem xmlns:ds="http://schemas.openxmlformats.org/officeDocument/2006/customXml" ds:itemID="{3711838F-4BF8-44AC-B284-23F3BD7CCBFA}">
  <ds:schemaRefs/>
</ds:datastoreItem>
</file>

<file path=customXml/itemProps13.xml><?xml version="1.0" encoding="utf-8"?>
<ds:datastoreItem xmlns:ds="http://schemas.openxmlformats.org/officeDocument/2006/customXml" ds:itemID="{2F8F0223-7DBF-4842-8669-98A709C7F08F}">
  <ds:schemaRefs/>
</ds:datastoreItem>
</file>

<file path=customXml/itemProps14.xml><?xml version="1.0" encoding="utf-8"?>
<ds:datastoreItem xmlns:ds="http://schemas.openxmlformats.org/officeDocument/2006/customXml" ds:itemID="{4CA85967-A19E-45A0-9BA3-09D233D13377}">
  <ds:schemaRefs/>
</ds:datastoreItem>
</file>

<file path=customXml/itemProps15.xml><?xml version="1.0" encoding="utf-8"?>
<ds:datastoreItem xmlns:ds="http://schemas.openxmlformats.org/officeDocument/2006/customXml" ds:itemID="{97BEF0D8-EFFD-4C0E-9B4D-2933636B7221}">
  <ds:schemaRefs/>
</ds:datastoreItem>
</file>

<file path=customXml/itemProps16.xml><?xml version="1.0" encoding="utf-8"?>
<ds:datastoreItem xmlns:ds="http://schemas.openxmlformats.org/officeDocument/2006/customXml" ds:itemID="{A0026F22-27A9-4ABC-A948-DE86E979FF14}">
  <ds:schemaRefs/>
</ds:datastoreItem>
</file>

<file path=customXml/itemProps17.xml><?xml version="1.0" encoding="utf-8"?>
<ds:datastoreItem xmlns:ds="http://schemas.openxmlformats.org/officeDocument/2006/customXml" ds:itemID="{76B0006B-889B-4AF8-9FC8-127BA26311FA}">
  <ds:schemaRefs/>
</ds:datastoreItem>
</file>

<file path=customXml/itemProps18.xml><?xml version="1.0" encoding="utf-8"?>
<ds:datastoreItem xmlns:ds="http://schemas.openxmlformats.org/officeDocument/2006/customXml" ds:itemID="{59059196-5CD8-4F72-90CD-F5E08BF7A620}">
  <ds:schemaRefs/>
</ds:datastoreItem>
</file>

<file path=customXml/itemProps19.xml><?xml version="1.0" encoding="utf-8"?>
<ds:datastoreItem xmlns:ds="http://schemas.openxmlformats.org/officeDocument/2006/customXml" ds:itemID="{2E672F49-ED77-48B9-A7F8-388BA8EA7EF9}">
  <ds:schemaRefs/>
</ds:datastoreItem>
</file>

<file path=customXml/itemProps2.xml><?xml version="1.0" encoding="utf-8"?>
<ds:datastoreItem xmlns:ds="http://schemas.openxmlformats.org/officeDocument/2006/customXml" ds:itemID="{FC2B222B-B6E8-44CA-BA56-A0B037398AC3}">
  <ds:schemaRefs/>
</ds:datastoreItem>
</file>

<file path=customXml/itemProps20.xml><?xml version="1.0" encoding="utf-8"?>
<ds:datastoreItem xmlns:ds="http://schemas.openxmlformats.org/officeDocument/2006/customXml" ds:itemID="{2AD498A9-135B-4F69-9D4A-AB01BEC5465E}">
  <ds:schemaRefs/>
</ds:datastoreItem>
</file>

<file path=customXml/itemProps21.xml><?xml version="1.0" encoding="utf-8"?>
<ds:datastoreItem xmlns:ds="http://schemas.openxmlformats.org/officeDocument/2006/customXml" ds:itemID="{34226FCB-9C86-4A75-BB19-2C28DE98921F}">
  <ds:schemaRefs/>
</ds:datastoreItem>
</file>

<file path=customXml/itemProps22.xml><?xml version="1.0" encoding="utf-8"?>
<ds:datastoreItem xmlns:ds="http://schemas.openxmlformats.org/officeDocument/2006/customXml" ds:itemID="{A6251120-B81E-404B-9F80-92B81F1A0900}">
  <ds:schemaRefs/>
</ds:datastoreItem>
</file>

<file path=customXml/itemProps23.xml><?xml version="1.0" encoding="utf-8"?>
<ds:datastoreItem xmlns:ds="http://schemas.openxmlformats.org/officeDocument/2006/customXml" ds:itemID="{E8A09698-AFED-49BC-ADB8-53EE81BECFED}">
  <ds:schemaRefs/>
</ds:datastoreItem>
</file>

<file path=customXml/itemProps24.xml><?xml version="1.0" encoding="utf-8"?>
<ds:datastoreItem xmlns:ds="http://schemas.openxmlformats.org/officeDocument/2006/customXml" ds:itemID="{B44B2267-DCC6-487F-987E-1E7AE56EACF2}">
  <ds:schemaRefs/>
</ds:datastoreItem>
</file>

<file path=customXml/itemProps25.xml><?xml version="1.0" encoding="utf-8"?>
<ds:datastoreItem xmlns:ds="http://schemas.openxmlformats.org/officeDocument/2006/customXml" ds:itemID="{4B614F86-A3B9-46BF-B406-2A43C74146DD}">
  <ds:schemaRefs/>
</ds:datastoreItem>
</file>

<file path=customXml/itemProps26.xml><?xml version="1.0" encoding="utf-8"?>
<ds:datastoreItem xmlns:ds="http://schemas.openxmlformats.org/officeDocument/2006/customXml" ds:itemID="{567886A8-9328-4B58-8BCB-34E375002522}">
  <ds:schemaRefs/>
</ds:datastoreItem>
</file>

<file path=customXml/itemProps27.xml><?xml version="1.0" encoding="utf-8"?>
<ds:datastoreItem xmlns:ds="http://schemas.openxmlformats.org/officeDocument/2006/customXml" ds:itemID="{66A81B76-DDD5-4019-B408-25F7902E2D65}">
  <ds:schemaRefs/>
</ds:datastoreItem>
</file>

<file path=customXml/itemProps28.xml><?xml version="1.0" encoding="utf-8"?>
<ds:datastoreItem xmlns:ds="http://schemas.openxmlformats.org/officeDocument/2006/customXml" ds:itemID="{F27AF4D4-FA57-46B0-96B9-99E24D8F93B2}">
  <ds:schemaRefs/>
</ds:datastoreItem>
</file>

<file path=customXml/itemProps29.xml><?xml version="1.0" encoding="utf-8"?>
<ds:datastoreItem xmlns:ds="http://schemas.openxmlformats.org/officeDocument/2006/customXml" ds:itemID="{FB51DE0F-088A-4213-97C8-DA36C731BD28}">
  <ds:schemaRefs/>
</ds:datastoreItem>
</file>

<file path=customXml/itemProps3.xml><?xml version="1.0" encoding="utf-8"?>
<ds:datastoreItem xmlns:ds="http://schemas.openxmlformats.org/officeDocument/2006/customXml" ds:itemID="{D281366A-DD51-4002-B143-C4F2E7BF1CDE}">
  <ds:schemaRefs/>
</ds:datastoreItem>
</file>

<file path=customXml/itemProps30.xml><?xml version="1.0" encoding="utf-8"?>
<ds:datastoreItem xmlns:ds="http://schemas.openxmlformats.org/officeDocument/2006/customXml" ds:itemID="{264EEB54-ECA0-458A-83A9-8D04CE352A7B}">
  <ds:schemaRefs/>
</ds:datastoreItem>
</file>

<file path=customXml/itemProps31.xml><?xml version="1.0" encoding="utf-8"?>
<ds:datastoreItem xmlns:ds="http://schemas.openxmlformats.org/officeDocument/2006/customXml" ds:itemID="{055E558C-0E5E-41A3-B471-7E0525EBA760}">
  <ds:schemaRefs/>
</ds:datastoreItem>
</file>

<file path=customXml/itemProps32.xml><?xml version="1.0" encoding="utf-8"?>
<ds:datastoreItem xmlns:ds="http://schemas.openxmlformats.org/officeDocument/2006/customXml" ds:itemID="{D372194D-36A5-4043-8102-594676A1DAAD}">
  <ds:schemaRefs/>
</ds:datastoreItem>
</file>

<file path=customXml/itemProps33.xml><?xml version="1.0" encoding="utf-8"?>
<ds:datastoreItem xmlns:ds="http://schemas.openxmlformats.org/officeDocument/2006/customXml" ds:itemID="{9278C99D-5E69-4FF0-B77D-C381E563594A}">
  <ds:schemaRefs/>
</ds:datastoreItem>
</file>

<file path=customXml/itemProps34.xml><?xml version="1.0" encoding="utf-8"?>
<ds:datastoreItem xmlns:ds="http://schemas.openxmlformats.org/officeDocument/2006/customXml" ds:itemID="{D805C720-D41A-494B-9403-8263912AF535}">
  <ds:schemaRefs/>
</ds:datastoreItem>
</file>

<file path=customXml/itemProps35.xml><?xml version="1.0" encoding="utf-8"?>
<ds:datastoreItem xmlns:ds="http://schemas.openxmlformats.org/officeDocument/2006/customXml" ds:itemID="{3440CE34-E556-4FD1-A89E-9D3CB0DE4351}">
  <ds:schemaRefs/>
</ds:datastoreItem>
</file>

<file path=customXml/itemProps36.xml><?xml version="1.0" encoding="utf-8"?>
<ds:datastoreItem xmlns:ds="http://schemas.openxmlformats.org/officeDocument/2006/customXml" ds:itemID="{02EDE7B3-0821-4089-9A33-B1DB76CDD3F7}">
  <ds:schemaRefs/>
</ds:datastoreItem>
</file>

<file path=customXml/itemProps37.xml><?xml version="1.0" encoding="utf-8"?>
<ds:datastoreItem xmlns:ds="http://schemas.openxmlformats.org/officeDocument/2006/customXml" ds:itemID="{FA7EF63C-4E9A-42CA-821D-92F0B7E3DBDB}">
  <ds:schemaRefs/>
</ds:datastoreItem>
</file>

<file path=customXml/itemProps38.xml><?xml version="1.0" encoding="utf-8"?>
<ds:datastoreItem xmlns:ds="http://schemas.openxmlformats.org/officeDocument/2006/customXml" ds:itemID="{E505990A-893B-460A-A707-2856752F4252}">
  <ds:schemaRefs/>
</ds:datastoreItem>
</file>

<file path=customXml/itemProps39.xml><?xml version="1.0" encoding="utf-8"?>
<ds:datastoreItem xmlns:ds="http://schemas.openxmlformats.org/officeDocument/2006/customXml" ds:itemID="{4EDEEB64-F615-4C5F-A26A-3EE5AB762768}">
  <ds:schemaRefs/>
</ds:datastoreItem>
</file>

<file path=customXml/itemProps4.xml><?xml version="1.0" encoding="utf-8"?>
<ds:datastoreItem xmlns:ds="http://schemas.openxmlformats.org/officeDocument/2006/customXml" ds:itemID="{27022C82-776E-4194-B75C-AF7CAF8BD3FD}">
  <ds:schemaRefs/>
</ds:datastoreItem>
</file>

<file path=customXml/itemProps40.xml><?xml version="1.0" encoding="utf-8"?>
<ds:datastoreItem xmlns:ds="http://schemas.openxmlformats.org/officeDocument/2006/customXml" ds:itemID="{70DAB20D-AD23-460E-9823-85730284663B}">
  <ds:schemaRefs/>
</ds:datastoreItem>
</file>

<file path=customXml/itemProps41.xml><?xml version="1.0" encoding="utf-8"?>
<ds:datastoreItem xmlns:ds="http://schemas.openxmlformats.org/officeDocument/2006/customXml" ds:itemID="{C83E15D3-5973-4C02-87CC-EC07791E65EB}">
  <ds:schemaRefs/>
</ds:datastoreItem>
</file>

<file path=customXml/itemProps42.xml><?xml version="1.0" encoding="utf-8"?>
<ds:datastoreItem xmlns:ds="http://schemas.openxmlformats.org/officeDocument/2006/customXml" ds:itemID="{4A896E0C-7FE0-45A3-84EB-3D20AB7D0FE4}">
  <ds:schemaRefs/>
</ds:datastoreItem>
</file>

<file path=customXml/itemProps43.xml><?xml version="1.0" encoding="utf-8"?>
<ds:datastoreItem xmlns:ds="http://schemas.openxmlformats.org/officeDocument/2006/customXml" ds:itemID="{DB2294B1-8712-462E-B881-5655FCBDBD09}">
  <ds:schemaRefs/>
</ds:datastoreItem>
</file>

<file path=customXml/itemProps44.xml><?xml version="1.0" encoding="utf-8"?>
<ds:datastoreItem xmlns:ds="http://schemas.openxmlformats.org/officeDocument/2006/customXml" ds:itemID="{24A4B1BD-DE50-4C13-977D-8D3AD651EE03}">
  <ds:schemaRefs/>
</ds:datastoreItem>
</file>

<file path=customXml/itemProps45.xml><?xml version="1.0" encoding="utf-8"?>
<ds:datastoreItem xmlns:ds="http://schemas.openxmlformats.org/officeDocument/2006/customXml" ds:itemID="{8BD7D8FC-53BF-467E-A680-F23F3F68B0DB}">
  <ds:schemaRefs/>
</ds:datastoreItem>
</file>

<file path=customXml/itemProps46.xml><?xml version="1.0" encoding="utf-8"?>
<ds:datastoreItem xmlns:ds="http://schemas.openxmlformats.org/officeDocument/2006/customXml" ds:itemID="{D673A0FA-A6DF-4156-8F4C-542EAC157D43}">
  <ds:schemaRefs/>
</ds:datastoreItem>
</file>

<file path=customXml/itemProps47.xml><?xml version="1.0" encoding="utf-8"?>
<ds:datastoreItem xmlns:ds="http://schemas.openxmlformats.org/officeDocument/2006/customXml" ds:itemID="{A93E8687-8AF7-49DB-9A41-3C1EE85CF487}">
  <ds:schemaRefs/>
</ds:datastoreItem>
</file>

<file path=customXml/itemProps48.xml><?xml version="1.0" encoding="utf-8"?>
<ds:datastoreItem xmlns:ds="http://schemas.openxmlformats.org/officeDocument/2006/customXml" ds:itemID="{3891DC88-B8CE-4B03-B69E-409E0E1227D6}">
  <ds:schemaRefs/>
</ds:datastoreItem>
</file>

<file path=customXml/itemProps49.xml><?xml version="1.0" encoding="utf-8"?>
<ds:datastoreItem xmlns:ds="http://schemas.openxmlformats.org/officeDocument/2006/customXml" ds:itemID="{A8E2E2DE-2716-4839-9BBA-6A7D2B0792B4}">
  <ds:schemaRefs/>
</ds:datastoreItem>
</file>

<file path=customXml/itemProps5.xml><?xml version="1.0" encoding="utf-8"?>
<ds:datastoreItem xmlns:ds="http://schemas.openxmlformats.org/officeDocument/2006/customXml" ds:itemID="{A0B5243A-10DD-4279-8E20-03CFA8478FDB}">
  <ds:schemaRefs/>
</ds:datastoreItem>
</file>

<file path=customXml/itemProps50.xml><?xml version="1.0" encoding="utf-8"?>
<ds:datastoreItem xmlns:ds="http://schemas.openxmlformats.org/officeDocument/2006/customXml" ds:itemID="{34C9493B-1F82-4C85-809C-4C7DBD4A21F1}">
  <ds:schemaRefs/>
</ds:datastoreItem>
</file>

<file path=customXml/itemProps51.xml><?xml version="1.0" encoding="utf-8"?>
<ds:datastoreItem xmlns:ds="http://schemas.openxmlformats.org/officeDocument/2006/customXml" ds:itemID="{3AD8A7B9-9E42-4530-8A9F-B4F729729FAA}">
  <ds:schemaRefs/>
</ds:datastoreItem>
</file>

<file path=customXml/itemProps52.xml><?xml version="1.0" encoding="utf-8"?>
<ds:datastoreItem xmlns:ds="http://schemas.openxmlformats.org/officeDocument/2006/customXml" ds:itemID="{3561752B-6601-4F0D-8868-A059C94D8937}">
  <ds:schemaRefs/>
</ds:datastoreItem>
</file>

<file path=customXml/itemProps53.xml><?xml version="1.0" encoding="utf-8"?>
<ds:datastoreItem xmlns:ds="http://schemas.openxmlformats.org/officeDocument/2006/customXml" ds:itemID="{C2D75B5F-F21F-4815-ACBA-6765D5DDADFF}">
  <ds:schemaRefs/>
</ds:datastoreItem>
</file>

<file path=customXml/itemProps54.xml><?xml version="1.0" encoding="utf-8"?>
<ds:datastoreItem xmlns:ds="http://schemas.openxmlformats.org/officeDocument/2006/customXml" ds:itemID="{C30A255C-AE31-46AD-88A8-004E8D4A95BF}">
  <ds:schemaRefs/>
</ds:datastoreItem>
</file>

<file path=customXml/itemProps6.xml><?xml version="1.0" encoding="utf-8"?>
<ds:datastoreItem xmlns:ds="http://schemas.openxmlformats.org/officeDocument/2006/customXml" ds:itemID="{B7A7FEAE-7E9F-463B-8323-0FF1676502D0}">
  <ds:schemaRefs/>
</ds:datastoreItem>
</file>

<file path=customXml/itemProps7.xml><?xml version="1.0" encoding="utf-8"?>
<ds:datastoreItem xmlns:ds="http://schemas.openxmlformats.org/officeDocument/2006/customXml" ds:itemID="{9FC3ACCB-C9B5-458C-9D57-52F6EC96E3E3}">
  <ds:schemaRefs/>
</ds:datastoreItem>
</file>

<file path=customXml/itemProps8.xml><?xml version="1.0" encoding="utf-8"?>
<ds:datastoreItem xmlns:ds="http://schemas.openxmlformats.org/officeDocument/2006/customXml" ds:itemID="{EE919A00-2F06-4E6C-BAE3-71F207035E87}">
  <ds:schemaRefs/>
</ds:datastoreItem>
</file>

<file path=customXml/itemProps9.xml><?xml version="1.0" encoding="utf-8"?>
<ds:datastoreItem xmlns:ds="http://schemas.openxmlformats.org/officeDocument/2006/customXml" ds:itemID="{0A8299D8-E8DD-47AD-92F6-6F440EFE62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3850</Words>
  <Characters>21951</Characters>
  <Lines>182</Lines>
  <Paragraphs>51</Paragraphs>
  <TotalTime>2</TotalTime>
  <ScaleCrop>false</ScaleCrop>
  <LinksUpToDate>false</LinksUpToDate>
  <CharactersWithSpaces>25750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2024-03-29T01:35:00Z</dcterms:created>
  <dc:creator>Administrator</dc:creator>
  <cp:lastModifiedBy>Administrator</cp:lastModifiedBy>
  <dcterms:modified xsi:type="dcterms:W3CDTF">2024-08-15T01:19:39Z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18F3AE2071E64309A74CE39377D30FC5_13</vt:lpwstr>
  </property>
</Properties>
</file>