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567001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：唐山市食品药品综合检验检测中心（本级）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九</w:t>
      </w:r>
      <w:r>
        <w:rPr>
          <w:rFonts w:hint="eastAsia" w:ascii="楷体_GB2312" w:hAnsi="楷体_GB2312" w:eastAsia="楷体_GB2312" w:cs="楷体_GB2312"/>
          <w:color w:val="000000"/>
          <w:sz w:val="40"/>
          <w:szCs w:val="40"/>
        </w:rPr>
        <w:t>月</w:t>
      </w: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val="en-US" w:eastAsia="zh-CN"/>
        </w:rPr>
        <w:t>部门</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部门</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numPr>
          <w:ilvl w:val="0"/>
          <w:numId w:val="0"/>
        </w:numPr>
        <w:ind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唐山市食品药品综合检验检测中心是财政基本保障公益一类事业</w:t>
      </w:r>
      <w:r>
        <w:rPr>
          <w:rFonts w:hint="eastAsia" w:ascii="仿宋_GB2312" w:eastAsia="仿宋_GB2312" w:cs="ArialUnicodeMS"/>
          <w:kern w:val="0"/>
          <w:sz w:val="32"/>
          <w:szCs w:val="32"/>
          <w:highlight w:val="none"/>
          <w:lang w:eastAsia="zh-CN"/>
        </w:rPr>
        <w:t>单位</w:t>
      </w:r>
      <w:r>
        <w:rPr>
          <w:rFonts w:hint="eastAsia" w:ascii="仿宋_GB2312" w:eastAsia="仿宋_GB2312" w:cs="ArialUnicodeMS"/>
          <w:kern w:val="0"/>
          <w:sz w:val="32"/>
          <w:szCs w:val="32"/>
          <w:highlight w:val="none"/>
        </w:rPr>
        <w:t>，内设办公室、党办室、业办室等18个职能处室，编制合计</w:t>
      </w:r>
      <w:r>
        <w:rPr>
          <w:rFonts w:hint="eastAsia" w:ascii="仿宋_GB2312" w:eastAsia="仿宋_GB2312" w:cs="ArialUnicodeMS"/>
          <w:kern w:val="0"/>
          <w:sz w:val="32"/>
          <w:szCs w:val="32"/>
          <w:highlight w:val="none"/>
          <w:lang w:val="en-US" w:eastAsia="zh-CN"/>
        </w:rPr>
        <w:t>210</w:t>
      </w:r>
      <w:r>
        <w:rPr>
          <w:rFonts w:hint="eastAsia" w:ascii="仿宋_GB2312" w:eastAsia="仿宋_GB2312" w:cs="ArialUnicodeMS"/>
          <w:kern w:val="0"/>
          <w:sz w:val="32"/>
          <w:szCs w:val="32"/>
          <w:highlight w:val="none"/>
        </w:rPr>
        <w:t>名，202</w:t>
      </w:r>
      <w:r>
        <w:rPr>
          <w:rFonts w:hint="eastAsia" w:ascii="仿宋_GB2312" w:eastAsia="仿宋_GB2312" w:cs="ArialUnicodeMS"/>
          <w:kern w:val="0"/>
          <w:sz w:val="32"/>
          <w:szCs w:val="32"/>
          <w:highlight w:val="none"/>
          <w:lang w:val="en-US" w:eastAsia="zh-CN"/>
        </w:rPr>
        <w:t>3</w:t>
      </w:r>
      <w:r>
        <w:rPr>
          <w:rFonts w:hint="eastAsia" w:ascii="仿宋_GB2312" w:eastAsia="仿宋_GB2312" w:cs="ArialUnicodeMS"/>
          <w:kern w:val="0"/>
          <w:sz w:val="32"/>
          <w:szCs w:val="32"/>
          <w:highlight w:val="none"/>
        </w:rPr>
        <w:t>年末实有</w:t>
      </w:r>
      <w:r>
        <w:rPr>
          <w:rFonts w:hint="eastAsia" w:ascii="仿宋_GB2312" w:eastAsia="仿宋_GB2312" w:cs="ArialUnicodeMS"/>
          <w:kern w:val="0"/>
          <w:sz w:val="32"/>
          <w:szCs w:val="32"/>
          <w:highlight w:val="none"/>
          <w:lang w:val="en-US" w:eastAsia="zh-CN"/>
        </w:rPr>
        <w:t>203</w:t>
      </w:r>
      <w:r>
        <w:rPr>
          <w:rFonts w:hint="eastAsia" w:ascii="仿宋_GB2312" w:eastAsia="仿宋_GB2312" w:cs="ArialUnicodeMS"/>
          <w:kern w:val="0"/>
          <w:sz w:val="32"/>
          <w:szCs w:val="32"/>
          <w:highlight w:val="none"/>
        </w:rPr>
        <w:t>人。</w:t>
      </w:r>
    </w:p>
    <w:p>
      <w:pPr>
        <w:numPr>
          <w:ilvl w:val="0"/>
          <w:numId w:val="2"/>
        </w:numPr>
        <w:ind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负责食品、药品、保健食品和化妆品、食品添加剂、医疗器械、药品包装材料、农产品（畜牧产品、种植产品、水产品）、生产投入品（种子、肥料、农药、兽药（渔药）、饲料（饲料添加剂）、兽医器械）和农业生产环境（土壤、大气、水）等方面质量检验检测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承担国家、省、市下达质量安全监督检测任务，为执法监管和产业发展提供技术支撑，为食品标准化生产和名特优新农产品发展提供技术依据。</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承担相关检验标准制定与修订、检验仪器开发、检验标准物质研制等工作；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承担食品药品、农产品等质量安全风险评估技术性工作；承担质量标准、检验方法、标准物质及相关安全性、有效性的科学研究工作。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承担对县级检测机构和企业自律性检测机构开展技术培训、指导工作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承担农业生物转基因成分检测，农产品产地环境、生产过程、贮藏保鲜、产地加工和流通消费环节质量安全和营养品质科学研究与技术推广工作，为政府</w:t>
      </w:r>
      <w:r>
        <w:rPr>
          <w:rFonts w:hint="eastAsia" w:ascii="仿宋_GB2312" w:eastAsia="仿宋_GB2312" w:cs="ArialUnicodeMS"/>
          <w:kern w:val="0"/>
          <w:sz w:val="32"/>
          <w:szCs w:val="32"/>
          <w:highlight w:val="none"/>
          <w:lang w:eastAsia="zh-CN"/>
        </w:rPr>
        <w:t>单位</w:t>
      </w:r>
      <w:r>
        <w:rPr>
          <w:rFonts w:hint="eastAsia" w:ascii="仿宋_GB2312" w:eastAsia="仿宋_GB2312" w:cs="ArialUnicodeMS"/>
          <w:kern w:val="0"/>
          <w:sz w:val="32"/>
          <w:szCs w:val="32"/>
          <w:highlight w:val="none"/>
        </w:rPr>
        <w:t>推进农产品生产消费优质化、绿色化、品牌化提供决策依据。</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负责农产品质量安全风险监测与风险评估工作。</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承担农产品质量安全标准制修订和追溯体系建设相关工作，推行农产品质量安全全程控制体系及技术。</w:t>
      </w:r>
    </w:p>
    <w:p>
      <w:pPr>
        <w:numPr>
          <w:ilvl w:val="0"/>
          <w:numId w:val="2"/>
        </w:numPr>
        <w:ind w:left="0" w:leftChars="0" w:firstLine="640" w:firstLineChars="200"/>
        <w:rPr>
          <w:rFonts w:hint="eastAsia" w:ascii="仿宋_GB2312" w:eastAsia="仿宋_GB2312" w:cs="ArialUnicodeMS"/>
          <w:kern w:val="0"/>
          <w:sz w:val="32"/>
          <w:szCs w:val="32"/>
          <w:highlight w:val="none"/>
          <w:lang w:eastAsia="zh-CN"/>
        </w:rPr>
      </w:pPr>
      <w:r>
        <w:rPr>
          <w:rFonts w:hint="eastAsia" w:ascii="仿宋_GB2312" w:eastAsia="仿宋_GB2312" w:cs="ArialUnicodeMS"/>
          <w:kern w:val="0"/>
          <w:sz w:val="32"/>
          <w:szCs w:val="32"/>
          <w:highlight w:val="none"/>
        </w:rPr>
        <w:t>负责农产品质量安全营养品质知识科普宣传，为消费者科学消费提供技术支撑</w:t>
      </w:r>
      <w:r>
        <w:rPr>
          <w:rFonts w:hint="eastAsia" w:ascii="仿宋_GB2312" w:eastAsia="仿宋_GB2312" w:cs="ArialUnicodeMS"/>
          <w:kern w:val="0"/>
          <w:sz w:val="32"/>
          <w:szCs w:val="32"/>
          <w:highlight w:val="none"/>
          <w:lang w:eastAsia="zh-CN"/>
        </w:rPr>
        <w:t>。</w:t>
      </w:r>
    </w:p>
    <w:p>
      <w:pPr>
        <w:numPr>
          <w:ilvl w:val="0"/>
          <w:numId w:val="2"/>
        </w:numPr>
        <w:ind w:left="0" w:leftChars="0"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承担市农业农村局、市市场监督管理局、市发展改革委员会、市自然资源和规划局委托的其他相关工作。</w:t>
      </w:r>
    </w:p>
    <w:p>
      <w:pPr>
        <w:numPr>
          <w:ilvl w:val="0"/>
          <w:numId w:val="0"/>
        </w:numPr>
        <w:ind w:firstLine="640" w:firstLineChars="20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rPr>
        <w:t>11、承担公安局食品药品保障支队执法检测工作。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本单位</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vAlign w:val="top"/>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唐山市食品药品综合检验检测中心</w:t>
            </w:r>
            <w:r>
              <w:rPr>
                <w:rFonts w:hint="eastAsia" w:ascii="仿宋_GB2312" w:hAnsi="Calibri" w:eastAsia="仿宋_GB2312" w:cs="ArialUnicodeMS"/>
                <w:kern w:val="0"/>
                <w:sz w:val="28"/>
                <w:szCs w:val="28"/>
              </w:rPr>
              <w:t>(本级)</w:t>
            </w:r>
          </w:p>
        </w:tc>
        <w:tc>
          <w:tcPr>
            <w:tcW w:w="2445"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w:t>
            </w:r>
            <w:r>
              <w:rPr>
                <w:rFonts w:hint="eastAsia" w:ascii="仿宋_GB2312" w:hAnsi="Calibri" w:eastAsia="仿宋_GB2312" w:cs="ArialUnicodeMS"/>
                <w:kern w:val="0"/>
                <w:sz w:val="28"/>
                <w:szCs w:val="28"/>
                <w:lang w:eastAsia="zh-CN"/>
              </w:rPr>
              <w:t>单位</w:t>
            </w:r>
          </w:p>
        </w:tc>
        <w:tc>
          <w:tcPr>
            <w:tcW w:w="2665"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度部门</w:t>
      </w:r>
      <w:r>
        <w:rPr>
          <w:rFonts w:hint="eastAsia" w:ascii="黑体" w:hAnsi="宋体" w:eastAsia="黑体" w:cs="黑体"/>
          <w:i w:val="0"/>
          <w:iCs w:val="0"/>
          <w:caps w:val="0"/>
          <w:color w:val="000000"/>
          <w:spacing w:val="0"/>
          <w:sz w:val="72"/>
          <w:szCs w:val="72"/>
          <w:highlight w:val="none"/>
          <w:shd w:val="clear" w:fill="FFFFFF"/>
        </w:rPr>
        <w:t>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编制单位：唐山市食品药品综合检验检测中心（本级）</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6,748.82</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5,120.52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662.18</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976.44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7,411.00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7,434.41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148.26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7,559.26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7,559.26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编制单位：唐山市食品药品综合检验检测中心（本级）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7,411.00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6,748.82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662.18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5,115.38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5,111.38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市场监督管理事务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5,115.38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5,111.38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药品事务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2013816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食品安全监管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2013850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3,204.72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其他市场监督管理事务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1,775.05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1,771.05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进修及培训</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培训支出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技术研究与开发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2060404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科技成果转化与扩散</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科技重大项目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2060902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重点研发计划</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352.56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死亡抚恤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其他优抚支出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276.28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276.28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275.33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275.33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133.97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133.97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141.36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141.36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农业生产发展</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286.48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286.48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286.48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286.48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286.48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286.48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灾害防治及应急管理支出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地震事务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地震灾害预防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编制单位：唐山市食品药品综合检验检测中心（本级）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7,434.41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4,095.60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3,338.81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5,120.52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3,167.11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1,953.41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5,120.52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3,167.11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1,953.41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药品事务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食品安全监管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2013850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3,204.72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3,167.11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其他市场监督管理事务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1,780.20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1,780.20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科技重大项目</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2060902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重点研发计划</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353.73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352.56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352.56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276.28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276.28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275.33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275.33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133.97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133.97</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141.36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0.96</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676.44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地震灾害预防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编制单位：唐山市食品药品综合检验检测中心（本级）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6,748.82</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5,111.38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5,111.38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82.33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82.33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379.35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379.35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276.28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276.28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300.00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300.00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286.48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286.48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301.00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301.00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6,748.82</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6,748.82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6,748.82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6,748.82</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6,748.82</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6,748.82</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编制单位：唐山市食品药品综合检验检测中心（本级）</w:t>
            </w:r>
          </w:p>
        </w:tc>
        <w:tc>
          <w:tcPr>
            <w:tcW w:w="2994"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6,748.82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4,095.60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2,653.22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5,111.38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3,167.11</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5,111.38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3,167.11</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药品事务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2013816</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食品安全监管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2013850</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3,204.72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3,167.11</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其他市场监督管理事务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1,771.05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1,771.05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82.33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技术研究与开发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2060404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科技成果转化与扩散</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科技重大项目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2060902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重点研发计划</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379.35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353.73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352.56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352.56</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352.56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352.56</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26.79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276.28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276.28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275.33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275.33</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133.97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133.97</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141.36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141.36</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0.96</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0.96</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农业生产发展</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286.48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2240506</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地震灾害预防</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编制单位：唐山市食品药品综合检验检测中心（本级）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3,694.06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224.46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1,110.96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10.53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264.82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637.83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751.73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352.56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61.48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8.11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121.52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141.36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28.46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286.48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12.60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7.65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177.08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107.18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16.11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21.98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49.91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3,871.15</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编制单位：唐山市食品药品综合检验检测中心（本级）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注：本表反映单位本年度政府性基金预算财政拨款收入、支出及结转和结余情况。本单位本年度无相关支出情况，按要求以空表列示。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编制单位：唐山市食品药品综合检验检测中心（本级）</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注：本表反映单位本年度国有资本经营预算财政拨款支出情况。本单位本年度无相关支出情况，按要求以空表列示。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编制单位：唐山市食品药品综合检验检测中心（本级）</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3.35</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0.95</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3.35</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2.40</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2.40</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b/>
          <w:color w:val="auto"/>
          <w:kern w:val="0"/>
          <w:sz w:val="32"/>
          <w:szCs w:val="32"/>
          <w:highlight w:val="none"/>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度部门</w:t>
      </w:r>
      <w:r>
        <w:rPr>
          <w:rFonts w:hint="eastAsia" w:ascii="黑体" w:hAnsi="宋体" w:eastAsia="黑体" w:cs="黑体"/>
          <w:i w:val="0"/>
          <w:iCs w:val="0"/>
          <w:caps w:val="0"/>
          <w:color w:val="000000"/>
          <w:spacing w:val="-20"/>
          <w:sz w:val="72"/>
          <w:szCs w:val="72"/>
          <w:highlight w:val="none"/>
          <w:shd w:val="clear" w:fill="FFFFFF"/>
        </w:rPr>
        <w:t>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7,559.26</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762.31</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9</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kern w:val="2"/>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r>
        <w:drawing>
          <wp:anchor distT="0" distB="0" distL="114300" distR="114300" simplePos="0" relativeHeight="251678720" behindDoc="0" locked="0" layoutInCell="1" allowOverlap="1">
            <wp:simplePos x="0" y="0"/>
            <wp:positionH relativeFrom="column">
              <wp:posOffset>406400</wp:posOffset>
            </wp:positionH>
            <wp:positionV relativeFrom="page">
              <wp:posOffset>2978785</wp:posOffset>
            </wp:positionV>
            <wp:extent cx="4572000" cy="2743200"/>
            <wp:effectExtent l="4445" t="4445" r="14605" b="14605"/>
            <wp:wrapSquare wrapText="bothSides"/>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7,411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，其中：财政拨款收入6,748.82万元，占91.06%；上级补助收入0万元，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0%；其他收入662.18万元，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8.94%</w:t>
      </w:r>
      <w:r>
        <w:rPr>
          <w:rFonts w:hint="eastAsia"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480" w:firstLineChars="200"/>
        <w:jc w:val="left"/>
        <w:rPr>
          <w:rFonts w:hint="eastAsia" w:ascii="Times New Roman" w:hAnsi="Times New Roman" w:eastAsia="仿宋_GB2312" w:cs="Times New Roman"/>
          <w:kern w:val="2"/>
          <w:sz w:val="32"/>
          <w:szCs w:val="32"/>
          <w:lang w:val="zh-CN"/>
        </w:rPr>
      </w:pPr>
      <w:r>
        <w:drawing>
          <wp:anchor distT="0" distB="0" distL="114300" distR="114300" simplePos="0" relativeHeight="251724800" behindDoc="0" locked="0" layoutInCell="1" allowOverlap="1">
            <wp:simplePos x="0" y="0"/>
            <wp:positionH relativeFrom="column">
              <wp:posOffset>342900</wp:posOffset>
            </wp:positionH>
            <wp:positionV relativeFrom="page">
              <wp:posOffset>1094105</wp:posOffset>
            </wp:positionV>
            <wp:extent cx="4572000" cy="2743200"/>
            <wp:effectExtent l="4445" t="4445" r="14605" b="14605"/>
            <wp:wrapSquare wrapText="bothSides"/>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7,434.41万元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4,095.6万元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占55.09%；</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3,338.81万元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占44.91%；</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r>
        <w:drawing>
          <wp:anchor distT="0" distB="0" distL="114300" distR="114300" simplePos="0" relativeHeight="251829248" behindDoc="0" locked="0" layoutInCell="1" allowOverlap="1">
            <wp:simplePos x="0" y="0"/>
            <wp:positionH relativeFrom="column">
              <wp:posOffset>258445</wp:posOffset>
            </wp:positionH>
            <wp:positionV relativeFrom="page">
              <wp:posOffset>6311900</wp:posOffset>
            </wp:positionV>
            <wp:extent cx="4572000" cy="2743200"/>
            <wp:effectExtent l="4445" t="4445" r="14605" b="14605"/>
            <wp:wrapSquare wrapText="bothSides"/>
            <wp:docPr id="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p>
    <w:p>
      <w:pPr>
        <w:autoSpaceDE w:val="0"/>
        <w:autoSpaceDN w:val="0"/>
        <w:adjustRightInd w:val="0"/>
        <w:spacing w:line="580" w:lineRule="exact"/>
        <w:jc w:val="left"/>
        <w:rPr>
          <w:rFonts w:hint="default" w:ascii="Times New Roman" w:hAnsi="Times New Roman" w:eastAsia="仿宋_GB2312" w:cs="Times New Roman"/>
          <w:kern w:val="2"/>
          <w:sz w:val="32"/>
          <w:szCs w:val="32"/>
          <w:lang w:val="zh-CN" w:eastAsia="zh-CN"/>
        </w:rPr>
      </w:pPr>
    </w:p>
    <w:p>
      <w:pPr>
        <w:autoSpaceDE w:val="0"/>
        <w:autoSpaceDN w:val="0"/>
        <w:adjustRightInd w:val="0"/>
        <w:spacing w:line="580" w:lineRule="exact"/>
        <w:jc w:val="left"/>
        <w:rPr>
          <w:rFonts w:hint="default" w:ascii="Times New Roman" w:hAnsi="Times New Roman" w:eastAsia="仿宋_GB2312" w:cs="Times New Roman"/>
          <w:kern w:val="2"/>
          <w:sz w:val="32"/>
          <w:szCs w:val="32"/>
          <w:lang w:val="zh-CN" w:eastAsia="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年度财政拨款本年收入6,748.82</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474.36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en-US" w:eastAsia="zh-CN" w:bidi="ar-SA"/>
        </w:rPr>
        <w:t>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color w:val="auto"/>
          <w:kern w:val="2"/>
          <w:sz w:val="32"/>
          <w:szCs w:val="32"/>
          <w:lang w:val="zh-CN" w:eastAsia="zh-CN" w:bidi="ar-SA"/>
        </w:rPr>
        <w:t>；本年支出 6,748.82元，比上年减少</w:t>
      </w:r>
      <w:r>
        <w:rPr>
          <w:rFonts w:hint="eastAsia" w:ascii="Times New Roman" w:hAnsi="Times New Roman" w:eastAsia="仿宋_GB2312" w:cs="Times New Roman"/>
          <w:color w:val="auto"/>
          <w:kern w:val="2"/>
          <w:sz w:val="32"/>
          <w:szCs w:val="32"/>
          <w:lang w:val="en-US" w:eastAsia="zh-CN" w:bidi="ar-SA"/>
        </w:rPr>
        <w:t>595.49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en-US" w:eastAsia="zh-CN" w:bidi="ar-SA"/>
        </w:rPr>
        <w:t>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zh-CN"/>
        </w:rPr>
      </w:pPr>
      <w:r>
        <w:drawing>
          <wp:anchor distT="0" distB="0" distL="114300" distR="114300" simplePos="0" relativeHeight="251945984" behindDoc="0" locked="0" layoutInCell="1" allowOverlap="1">
            <wp:simplePos x="0" y="0"/>
            <wp:positionH relativeFrom="column">
              <wp:posOffset>300990</wp:posOffset>
            </wp:positionH>
            <wp:positionV relativeFrom="page">
              <wp:posOffset>3994150</wp:posOffset>
            </wp:positionV>
            <wp:extent cx="4572000" cy="2743200"/>
            <wp:effectExtent l="4445" t="4445" r="14605" b="14605"/>
            <wp:wrapSquare wrapText="bothSides"/>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p>
    <w:p>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kern w:val="2"/>
          <w:sz w:val="32"/>
          <w:szCs w:val="32"/>
          <w:lang w:val="zh-CN"/>
        </w:rPr>
        <w:t>1. 一般公共预算财政拨款本年收入6,748.82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color w:val="auto"/>
          <w:kern w:val="2"/>
          <w:sz w:val="32"/>
          <w:szCs w:val="32"/>
          <w:lang w:val="zh-CN" w:eastAsia="zh-CN" w:bidi="ar-SA"/>
        </w:rPr>
        <w:t>比上年减少</w:t>
      </w:r>
      <w:r>
        <w:rPr>
          <w:rFonts w:hint="eastAsia" w:ascii="Times New Roman" w:hAnsi="Times New Roman" w:eastAsia="仿宋_GB2312" w:cs="Times New Roman"/>
          <w:color w:val="auto"/>
          <w:kern w:val="2"/>
          <w:sz w:val="32"/>
          <w:szCs w:val="32"/>
          <w:lang w:val="en-US" w:eastAsia="zh-CN" w:bidi="ar-SA"/>
        </w:rPr>
        <w:t>474.36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en-US" w:eastAsia="zh-CN" w:bidi="ar-SA"/>
        </w:rPr>
        <w:t>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color w:val="auto"/>
          <w:kern w:val="2"/>
          <w:sz w:val="32"/>
          <w:szCs w:val="32"/>
          <w:lang w:val="zh-CN" w:eastAsia="zh-CN" w:bidi="ar-SA"/>
        </w:rPr>
        <w:t>；本年支出 6,748.82元，比上年减少</w:t>
      </w:r>
      <w:r>
        <w:rPr>
          <w:rFonts w:hint="eastAsia" w:ascii="Times New Roman" w:hAnsi="Times New Roman" w:eastAsia="仿宋_GB2312" w:cs="Times New Roman"/>
          <w:color w:val="auto"/>
          <w:kern w:val="2"/>
          <w:sz w:val="32"/>
          <w:szCs w:val="32"/>
          <w:lang w:val="en-US" w:eastAsia="zh-CN" w:bidi="ar-SA"/>
        </w:rPr>
        <w:t>474.36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en-US" w:eastAsia="zh-CN" w:bidi="ar-SA"/>
        </w:rPr>
        <w:t>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kern w:val="2"/>
          <w:sz w:val="32"/>
          <w:szCs w:val="32"/>
          <w:lang w:val="en-US" w:eastAsia="zh-CN"/>
        </w:rPr>
        <w:t>业务调整项目减少</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我单位无</w:t>
      </w:r>
      <w:r>
        <w:rPr>
          <w:rFonts w:hint="eastAsia" w:ascii="仿宋_GB2312" w:hAnsi="Times New Roman" w:eastAsia="仿宋_GB2312" w:cs="DengXian-Regular"/>
          <w:sz w:val="32"/>
          <w:szCs w:val="32"/>
        </w:rPr>
        <w:t>政府性基金预算财政拨款；本年支出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我单位无</w:t>
      </w:r>
      <w:r>
        <w:rPr>
          <w:rFonts w:hint="eastAsia" w:ascii="仿宋_GB2312" w:hAnsi="Times New Roman" w:eastAsia="仿宋_GB2312" w:cs="DengXian-Regular"/>
          <w:sz w:val="32"/>
          <w:szCs w:val="32"/>
        </w:rPr>
        <w:t>政府性基金预算财政拨款。</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我单位无国有资本经营预算</w:t>
      </w:r>
      <w:r>
        <w:rPr>
          <w:rFonts w:hint="eastAsia" w:ascii="仿宋_GB2312" w:hAnsi="Times New Roman" w:eastAsia="仿宋_GB2312" w:cs="DengXian-Regular"/>
          <w:sz w:val="32"/>
          <w:szCs w:val="32"/>
        </w:rPr>
        <w:t>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无国有资本经营预算</w:t>
      </w:r>
      <w:r>
        <w:rPr>
          <w:rFonts w:hint="eastAsia" w:ascii="仿宋_GB2312" w:hAnsi="Times New Roman" w:eastAsia="仿宋_GB2312" w:cs="DengXian-Regular"/>
          <w:sz w:val="32"/>
          <w:szCs w:val="32"/>
        </w:rPr>
        <w:t>财政拨款。</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年度财政拨款本年收入6,748.82万元，完成年初预算的120.06%，比年初预算增加</w:t>
      </w:r>
      <w:r>
        <w:rPr>
          <w:rFonts w:hint="eastAsia" w:ascii="Times New Roman" w:hAnsi="Times New Roman" w:eastAsia="仿宋_GB2312" w:cs="Times New Roman"/>
          <w:color w:val="auto"/>
          <w:kern w:val="2"/>
          <w:sz w:val="32"/>
          <w:szCs w:val="32"/>
          <w:lang w:val="en-US" w:eastAsia="zh-CN" w:bidi="ar-SA"/>
        </w:rPr>
        <w:t>1124.80</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lang w:val="en-US" w:eastAsia="zh-CN" w:bidi="ar-SA"/>
        </w:rPr>
        <w:t>业务需要有较多调整预算项目</w:t>
      </w:r>
      <w:r>
        <w:rPr>
          <w:rFonts w:hint="default" w:ascii="Times New Roman" w:hAnsi="Times New Roman" w:eastAsia="仿宋_GB2312" w:cs="Times New Roman"/>
          <w:color w:val="auto"/>
          <w:kern w:val="2"/>
          <w:sz w:val="32"/>
          <w:szCs w:val="32"/>
          <w:lang w:val="zh-CN" w:eastAsia="zh-CN" w:bidi="ar-SA"/>
        </w:rPr>
        <w:t>；本年支出6,748.82万元，完成年初预算的120.06%，比年初预算增加</w:t>
      </w:r>
      <w:r>
        <w:rPr>
          <w:rFonts w:hint="eastAsia" w:ascii="Times New Roman" w:hAnsi="Times New Roman" w:eastAsia="仿宋_GB2312" w:cs="Times New Roman"/>
          <w:color w:val="auto"/>
          <w:kern w:val="2"/>
          <w:sz w:val="32"/>
          <w:szCs w:val="32"/>
          <w:lang w:val="en-US" w:eastAsia="zh-CN" w:bidi="ar-SA"/>
        </w:rPr>
        <w:t>1124.80</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lang w:val="en-US" w:eastAsia="zh-CN" w:bidi="ar-SA"/>
        </w:rPr>
        <w:t>业务需要有较多调整预算项目。</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收入6,748.82万元，完成年初预算的 120.06%，比年初预算</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1124.80</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en-US" w:eastAsia="zh-CN" w:bidi="ar-SA"/>
        </w:rPr>
        <w:t>业务需要有较多调整预算项目</w:t>
      </w:r>
      <w:r>
        <w:rPr>
          <w:rFonts w:hint="default" w:ascii="Times New Roman" w:hAnsi="Times New Roman" w:eastAsia="仿宋_GB2312" w:cs="Times New Roman"/>
          <w:kern w:val="2"/>
          <w:sz w:val="32"/>
          <w:szCs w:val="32"/>
          <w:lang w:val="zh-CN"/>
        </w:rPr>
        <w:t>；本年支出6,748.82万元，完成年初预算的120.06%，比年初预算</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1124.80</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color w:val="auto"/>
          <w:kern w:val="2"/>
          <w:sz w:val="32"/>
          <w:szCs w:val="32"/>
          <w:lang w:val="en-US" w:eastAsia="zh-CN" w:bidi="ar-SA"/>
        </w:rPr>
        <w:t>业务需要有较多调整预算项目</w:t>
      </w:r>
      <w:r>
        <w:rPr>
          <w:rFonts w:hint="default" w:ascii="Times New Roman" w:hAnsi="Times New Roman" w:eastAsia="仿宋_GB2312" w:cs="Times New Roman"/>
          <w:kern w:val="2"/>
          <w:sz w:val="32"/>
          <w:szCs w:val="32"/>
          <w:lang w:val="zh-CN"/>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我单位无</w:t>
      </w:r>
      <w:r>
        <w:rPr>
          <w:rFonts w:hint="eastAsia" w:ascii="仿宋_GB2312" w:hAnsi="Times New Roman" w:eastAsia="仿宋_GB2312" w:cs="DengXian-Regular"/>
          <w:sz w:val="32"/>
          <w:szCs w:val="32"/>
        </w:rPr>
        <w:t>政府性基金预算财政拨款；本年支出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我单位无</w:t>
      </w:r>
      <w:r>
        <w:rPr>
          <w:rFonts w:hint="eastAsia" w:ascii="仿宋_GB2312" w:hAnsi="Times New Roman" w:eastAsia="仿宋_GB2312" w:cs="DengXian-Regular"/>
          <w:sz w:val="32"/>
          <w:szCs w:val="32"/>
        </w:rPr>
        <w:t>政府性基金预算财政拨款。</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我单位无国有资本经营预算</w:t>
      </w:r>
      <w:r>
        <w:rPr>
          <w:rFonts w:hint="eastAsia" w:ascii="仿宋_GB2312" w:hAnsi="Times New Roman" w:eastAsia="仿宋_GB2312" w:cs="DengXian-Regular"/>
          <w:sz w:val="32"/>
          <w:szCs w:val="32"/>
        </w:rPr>
        <w:t>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较</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无国有资本经营预算</w:t>
      </w:r>
      <w:r>
        <w:rPr>
          <w:rFonts w:hint="eastAsia" w:ascii="仿宋_GB2312" w:hAnsi="Times New Roman" w:eastAsia="仿宋_GB2312" w:cs="DengXian-Regular"/>
          <w:sz w:val="32"/>
          <w:szCs w:val="32"/>
        </w:rPr>
        <w:t>财政拨款。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年度财政拨款支出6,748.82万元，主要用于以下方面：</w:t>
      </w:r>
    </w:p>
    <w:p>
      <w:pPr>
        <w:keepNext w:val="0"/>
        <w:keepLines w:val="0"/>
        <w:pageBreakBefore w:val="0"/>
        <w:kinsoku/>
        <w:wordWrap/>
        <w:overflowPunct/>
        <w:topLinePunct w:val="0"/>
        <w:autoSpaceDE/>
        <w:autoSpaceDN/>
        <w:bidi w:val="0"/>
        <w:adjustRightInd w:val="0"/>
        <w:snapToGrid w:val="0"/>
        <w:spacing w:line="580" w:lineRule="exact"/>
        <w:ind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一般公共服务（类）支出5,111.38万元，占75.74%；教育（类）支出12万元，占0.18%；科学技术（类）支出82.33万元，占1.22%；文化旅游体育与传媒（类）支出0万元，占0%；社会保障和就业 （类）支出379.35万元，占5.62%；卫生健康（类）支出276.28万元，占4.09%；农林水（类）支出300万元，占4.45%；住房保障（类）支出286.48万元，占4.24%；害防治及应急管理（类）支出301万元，占4.46%</w:t>
      </w:r>
      <w:r>
        <w:rPr>
          <w:rFonts w:hint="eastAsia" w:ascii="Times New Roman" w:hAnsi="Times New Roman" w:eastAsia="仿宋_GB2312" w:cs="Times New Roman"/>
          <w:color w:val="auto"/>
          <w:kern w:val="2"/>
          <w:sz w:val="32"/>
          <w:szCs w:val="32"/>
          <w:lang w:val="zh-CN" w:eastAsia="zh-CN" w:bidi="ar-SA"/>
        </w:rPr>
        <w:t>。</w:t>
      </w:r>
    </w:p>
    <w:p>
      <w:pPr>
        <w:pStyle w:val="10"/>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年度财政拨款基本支出4,095.6万元，其中：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人员经费3,871.15万元，主要包括基本工资</w:t>
      </w:r>
      <w:r>
        <w:rPr>
          <w:rFonts w:hint="eastAsia" w:ascii="Times New Roman" w:hAnsi="Times New Roman" w:eastAsia="仿宋_GB2312" w:cs="Times New Roman"/>
          <w:color w:val="auto"/>
          <w:kern w:val="2"/>
          <w:sz w:val="32"/>
          <w:szCs w:val="32"/>
          <w:lang w:val="en-US" w:eastAsia="zh-CN" w:bidi="ar-SA"/>
        </w:rPr>
        <w:t>1110.96万元</w:t>
      </w:r>
      <w:r>
        <w:rPr>
          <w:rFonts w:hint="default" w:ascii="Times New Roman" w:hAnsi="Times New Roman" w:eastAsia="仿宋_GB2312" w:cs="Times New Roman"/>
          <w:color w:val="auto"/>
          <w:kern w:val="2"/>
          <w:sz w:val="32"/>
          <w:szCs w:val="32"/>
          <w:lang w:val="zh-CN" w:eastAsia="zh-CN" w:bidi="ar-SA"/>
        </w:rPr>
        <w:t>、津贴补贴</w:t>
      </w:r>
      <w:r>
        <w:rPr>
          <w:rFonts w:hint="eastAsia" w:ascii="Times New Roman" w:hAnsi="Times New Roman" w:eastAsia="仿宋_GB2312" w:cs="Times New Roman"/>
          <w:color w:val="auto"/>
          <w:kern w:val="2"/>
          <w:sz w:val="32"/>
          <w:szCs w:val="32"/>
          <w:lang w:val="en-US" w:eastAsia="zh-CN" w:bidi="ar-SA"/>
        </w:rPr>
        <w:t>264.82万元</w:t>
      </w:r>
      <w:r>
        <w:rPr>
          <w:rFonts w:hint="default" w:ascii="Times New Roman" w:hAnsi="Times New Roman" w:eastAsia="仿宋_GB2312" w:cs="Times New Roman"/>
          <w:color w:val="auto"/>
          <w:kern w:val="2"/>
          <w:sz w:val="32"/>
          <w:szCs w:val="32"/>
          <w:lang w:val="zh-CN" w:eastAsia="zh-CN" w:bidi="ar-SA"/>
        </w:rPr>
        <w:t>、奖金</w:t>
      </w:r>
      <w:r>
        <w:rPr>
          <w:rFonts w:hint="eastAsia" w:ascii="Times New Roman" w:hAnsi="Times New Roman" w:eastAsia="仿宋_GB2312" w:cs="Times New Roman"/>
          <w:color w:val="auto"/>
          <w:kern w:val="2"/>
          <w:sz w:val="32"/>
          <w:szCs w:val="32"/>
          <w:lang w:val="en-US" w:eastAsia="zh-CN" w:bidi="ar-SA"/>
        </w:rPr>
        <w:t>637.83万元</w:t>
      </w:r>
      <w:r>
        <w:rPr>
          <w:rFonts w:hint="default" w:ascii="Times New Roman" w:hAnsi="Times New Roman" w:eastAsia="仿宋_GB2312" w:cs="Times New Roman"/>
          <w:color w:val="auto"/>
          <w:kern w:val="2"/>
          <w:sz w:val="32"/>
          <w:szCs w:val="32"/>
          <w:lang w:val="zh-CN" w:eastAsia="zh-CN" w:bidi="ar-SA"/>
        </w:rPr>
        <w:t>、绩效工资</w:t>
      </w:r>
      <w:r>
        <w:rPr>
          <w:rFonts w:hint="eastAsia" w:ascii="Times New Roman" w:hAnsi="Times New Roman" w:eastAsia="仿宋_GB2312" w:cs="Times New Roman"/>
          <w:color w:val="auto"/>
          <w:kern w:val="2"/>
          <w:sz w:val="32"/>
          <w:szCs w:val="32"/>
          <w:lang w:val="en-US" w:eastAsia="zh-CN" w:bidi="ar-SA"/>
        </w:rPr>
        <w:t>751.73万元</w:t>
      </w:r>
      <w:r>
        <w:rPr>
          <w:rFonts w:hint="default" w:ascii="Times New Roman" w:hAnsi="Times New Roman" w:eastAsia="仿宋_GB2312" w:cs="Times New Roman"/>
          <w:color w:val="auto"/>
          <w:kern w:val="2"/>
          <w:sz w:val="32"/>
          <w:szCs w:val="32"/>
          <w:lang w:val="zh-CN" w:eastAsia="zh-CN" w:bidi="ar-SA"/>
        </w:rPr>
        <w:t>、机关事业</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基本养老保险缴费</w:t>
      </w:r>
      <w:r>
        <w:rPr>
          <w:rFonts w:hint="eastAsia" w:ascii="Times New Roman" w:hAnsi="Times New Roman" w:eastAsia="仿宋_GB2312" w:cs="Times New Roman"/>
          <w:color w:val="auto"/>
          <w:kern w:val="2"/>
          <w:sz w:val="32"/>
          <w:szCs w:val="32"/>
          <w:lang w:val="en-US" w:eastAsia="zh-CN" w:bidi="ar-SA"/>
        </w:rPr>
        <w:t>352.56万元</w:t>
      </w:r>
      <w:r>
        <w:rPr>
          <w:rFonts w:hint="default" w:ascii="Times New Roman" w:hAnsi="Times New Roman" w:eastAsia="仿宋_GB2312" w:cs="Times New Roman"/>
          <w:color w:val="auto"/>
          <w:kern w:val="2"/>
          <w:sz w:val="32"/>
          <w:szCs w:val="32"/>
          <w:lang w:val="zh-CN" w:eastAsia="zh-CN" w:bidi="ar-SA"/>
        </w:rPr>
        <w:t>、职工基本医疗保险缴费</w:t>
      </w:r>
      <w:r>
        <w:rPr>
          <w:rFonts w:hint="eastAsia" w:ascii="Times New Roman" w:hAnsi="Times New Roman" w:eastAsia="仿宋_GB2312" w:cs="Times New Roman"/>
          <w:color w:val="auto"/>
          <w:kern w:val="2"/>
          <w:sz w:val="32"/>
          <w:szCs w:val="32"/>
          <w:lang w:val="en-US" w:eastAsia="zh-CN" w:bidi="ar-SA"/>
        </w:rPr>
        <w:t>121.52万元</w:t>
      </w:r>
      <w:r>
        <w:rPr>
          <w:rFonts w:hint="default" w:ascii="Times New Roman" w:hAnsi="Times New Roman" w:eastAsia="仿宋_GB2312" w:cs="Times New Roman"/>
          <w:color w:val="auto"/>
          <w:kern w:val="2"/>
          <w:sz w:val="32"/>
          <w:szCs w:val="32"/>
          <w:lang w:val="zh-CN" w:eastAsia="zh-CN" w:bidi="ar-SA"/>
        </w:rPr>
        <w:t>、公务员医疗补助缴费</w:t>
      </w:r>
      <w:r>
        <w:rPr>
          <w:rFonts w:hint="eastAsia" w:ascii="Times New Roman" w:hAnsi="Times New Roman" w:eastAsia="仿宋_GB2312" w:cs="Times New Roman"/>
          <w:color w:val="auto"/>
          <w:kern w:val="2"/>
          <w:sz w:val="32"/>
          <w:szCs w:val="32"/>
          <w:lang w:val="en-US" w:eastAsia="zh-CN" w:bidi="ar-SA"/>
        </w:rPr>
        <w:t>141.36万元</w:t>
      </w:r>
      <w:r>
        <w:rPr>
          <w:rFonts w:hint="default" w:ascii="Times New Roman" w:hAnsi="Times New Roman" w:eastAsia="仿宋_GB2312" w:cs="Times New Roman"/>
          <w:color w:val="auto"/>
          <w:kern w:val="2"/>
          <w:sz w:val="32"/>
          <w:szCs w:val="32"/>
          <w:lang w:val="zh-CN" w:eastAsia="zh-CN" w:bidi="ar-SA"/>
        </w:rPr>
        <w:t>、住房公积金</w:t>
      </w:r>
      <w:r>
        <w:rPr>
          <w:rFonts w:hint="eastAsia" w:ascii="Times New Roman" w:hAnsi="Times New Roman" w:eastAsia="仿宋_GB2312" w:cs="Times New Roman"/>
          <w:color w:val="auto"/>
          <w:kern w:val="2"/>
          <w:sz w:val="32"/>
          <w:szCs w:val="32"/>
          <w:lang w:val="en-US" w:eastAsia="zh-CN" w:bidi="ar-SA"/>
        </w:rPr>
        <w:t>286.48万元</w:t>
      </w:r>
      <w:r>
        <w:rPr>
          <w:rFonts w:hint="default" w:ascii="Times New Roman" w:hAnsi="Times New Roman" w:eastAsia="仿宋_GB2312" w:cs="Times New Roman"/>
          <w:color w:val="auto"/>
          <w:kern w:val="2"/>
          <w:sz w:val="32"/>
          <w:szCs w:val="32"/>
          <w:lang w:val="zh-CN" w:eastAsia="zh-CN" w:bidi="ar-SA"/>
        </w:rPr>
        <w:t>、其他社会保障缴费</w:t>
      </w:r>
      <w:r>
        <w:rPr>
          <w:rFonts w:hint="eastAsia" w:ascii="Times New Roman" w:hAnsi="Times New Roman" w:eastAsia="仿宋_GB2312" w:cs="Times New Roman"/>
          <w:color w:val="auto"/>
          <w:kern w:val="2"/>
          <w:sz w:val="32"/>
          <w:szCs w:val="32"/>
          <w:lang w:val="en-US" w:eastAsia="zh-CN" w:bidi="ar-SA"/>
        </w:rPr>
        <w:t>19.15万元</w:t>
      </w:r>
      <w:r>
        <w:rPr>
          <w:rFonts w:hint="default" w:ascii="Times New Roman" w:hAnsi="Times New Roman" w:eastAsia="仿宋_GB2312" w:cs="Times New Roman"/>
          <w:color w:val="auto"/>
          <w:kern w:val="2"/>
          <w:sz w:val="32"/>
          <w:szCs w:val="32"/>
          <w:lang w:val="zh-CN" w:eastAsia="zh-CN" w:bidi="ar-SA"/>
        </w:rPr>
        <w:t>、其他工资福利支出</w:t>
      </w:r>
      <w:r>
        <w:rPr>
          <w:rFonts w:hint="eastAsia" w:ascii="Times New Roman" w:hAnsi="Times New Roman" w:eastAsia="仿宋_GB2312" w:cs="Times New Roman"/>
          <w:color w:val="auto"/>
          <w:kern w:val="2"/>
          <w:sz w:val="32"/>
          <w:szCs w:val="32"/>
          <w:lang w:val="en-US" w:eastAsia="zh-CN" w:bidi="ar-SA"/>
        </w:rPr>
        <w:t>7.65万元</w:t>
      </w:r>
      <w:r>
        <w:rPr>
          <w:rFonts w:hint="default" w:ascii="Times New Roman" w:hAnsi="Times New Roman" w:eastAsia="仿宋_GB2312" w:cs="Times New Roman"/>
          <w:color w:val="auto"/>
          <w:kern w:val="2"/>
          <w:sz w:val="32"/>
          <w:szCs w:val="32"/>
          <w:lang w:val="zh-CN" w:eastAsia="zh-CN" w:bidi="ar-SA"/>
        </w:rPr>
        <w:t>、离休费</w:t>
      </w:r>
      <w:r>
        <w:rPr>
          <w:rFonts w:hint="eastAsia" w:ascii="Times New Roman" w:hAnsi="Times New Roman" w:eastAsia="仿宋_GB2312" w:cs="Times New Roman"/>
          <w:color w:val="auto"/>
          <w:kern w:val="2"/>
          <w:sz w:val="32"/>
          <w:szCs w:val="32"/>
          <w:lang w:val="en-US" w:eastAsia="zh-CN" w:bidi="ar-SA"/>
        </w:rPr>
        <w:t>1.47万元</w:t>
      </w:r>
      <w:r>
        <w:rPr>
          <w:rFonts w:hint="default" w:ascii="Times New Roman" w:hAnsi="Times New Roman" w:eastAsia="仿宋_GB2312" w:cs="Times New Roman"/>
          <w:color w:val="auto"/>
          <w:kern w:val="2"/>
          <w:sz w:val="32"/>
          <w:szCs w:val="32"/>
          <w:lang w:val="zh-CN" w:eastAsia="zh-CN" w:bidi="ar-SA"/>
        </w:rPr>
        <w:t>、退休费</w:t>
      </w:r>
      <w:r>
        <w:rPr>
          <w:rFonts w:hint="eastAsia" w:ascii="Times New Roman" w:hAnsi="Times New Roman" w:eastAsia="仿宋_GB2312" w:cs="Times New Roman"/>
          <w:color w:val="auto"/>
          <w:kern w:val="2"/>
          <w:sz w:val="32"/>
          <w:szCs w:val="32"/>
          <w:lang w:val="en-US" w:eastAsia="zh-CN" w:bidi="ar-SA"/>
        </w:rPr>
        <w:t>107.18万元</w:t>
      </w:r>
      <w:r>
        <w:rPr>
          <w:rFonts w:hint="default" w:ascii="Times New Roman" w:hAnsi="Times New Roman" w:eastAsia="仿宋_GB2312" w:cs="Times New Roman"/>
          <w:color w:val="auto"/>
          <w:kern w:val="2"/>
          <w:sz w:val="32"/>
          <w:szCs w:val="32"/>
          <w:lang w:val="zh-CN" w:eastAsia="zh-CN" w:bidi="ar-SA"/>
        </w:rPr>
        <w:t>、生活补助</w:t>
      </w:r>
      <w:r>
        <w:rPr>
          <w:rFonts w:hint="eastAsia" w:ascii="Times New Roman" w:hAnsi="Times New Roman" w:eastAsia="仿宋_GB2312" w:cs="Times New Roman"/>
          <w:color w:val="auto"/>
          <w:kern w:val="2"/>
          <w:sz w:val="32"/>
          <w:szCs w:val="32"/>
          <w:lang w:val="en-US" w:eastAsia="zh-CN" w:bidi="ar-SA"/>
        </w:rPr>
        <w:t>2.05万元</w:t>
      </w:r>
      <w:r>
        <w:rPr>
          <w:rFonts w:hint="default" w:ascii="Times New Roman" w:hAnsi="Times New Roman" w:eastAsia="仿宋_GB2312" w:cs="Times New Roman"/>
          <w:color w:val="auto"/>
          <w:kern w:val="2"/>
          <w:sz w:val="32"/>
          <w:szCs w:val="32"/>
          <w:lang w:val="zh-CN" w:eastAsia="zh-CN" w:bidi="ar-SA"/>
        </w:rPr>
        <w:t>、医疗费补助</w:t>
      </w:r>
      <w:r>
        <w:rPr>
          <w:rFonts w:hint="eastAsia" w:ascii="Times New Roman" w:hAnsi="Times New Roman" w:eastAsia="仿宋_GB2312" w:cs="Times New Roman"/>
          <w:color w:val="auto"/>
          <w:kern w:val="2"/>
          <w:sz w:val="32"/>
          <w:szCs w:val="32"/>
          <w:lang w:val="en-US" w:eastAsia="zh-CN" w:bidi="ar-SA"/>
        </w:rPr>
        <w:t>16.11万元</w:t>
      </w:r>
      <w:r>
        <w:rPr>
          <w:rFonts w:hint="default" w:ascii="Times New Roman" w:hAnsi="Times New Roman" w:eastAsia="仿宋_GB2312" w:cs="Times New Roman"/>
          <w:color w:val="auto"/>
          <w:kern w:val="2"/>
          <w:sz w:val="32"/>
          <w:szCs w:val="32"/>
          <w:lang w:val="zh-CN" w:eastAsia="zh-CN" w:bidi="ar-SA"/>
        </w:rPr>
        <w:t>、奖励金</w:t>
      </w:r>
      <w:r>
        <w:rPr>
          <w:rFonts w:hint="eastAsia" w:ascii="Times New Roman" w:hAnsi="Times New Roman" w:eastAsia="仿宋_GB2312" w:cs="Times New Roman"/>
          <w:color w:val="auto"/>
          <w:kern w:val="2"/>
          <w:sz w:val="32"/>
          <w:szCs w:val="32"/>
          <w:lang w:val="en-US" w:eastAsia="zh-CN" w:bidi="ar-SA"/>
        </w:rPr>
        <w:t>0.36万元</w:t>
      </w:r>
      <w:r>
        <w:rPr>
          <w:rFonts w:hint="default" w:ascii="Times New Roman" w:hAnsi="Times New Roman" w:eastAsia="仿宋_GB2312" w:cs="Times New Roman"/>
          <w:color w:val="auto"/>
          <w:kern w:val="2"/>
          <w:sz w:val="32"/>
          <w:szCs w:val="32"/>
          <w:lang w:val="zh-CN" w:eastAsia="zh-CN" w:bidi="ar-SA"/>
        </w:rPr>
        <w:t>、其他对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r>
        <w:rPr>
          <w:rFonts w:hint="eastAsia" w:ascii="Times New Roman" w:hAnsi="Times New Roman" w:eastAsia="仿宋_GB2312" w:cs="Times New Roman"/>
          <w:color w:val="auto"/>
          <w:kern w:val="2"/>
          <w:sz w:val="32"/>
          <w:szCs w:val="32"/>
          <w:lang w:val="en-US" w:eastAsia="zh-CN" w:bidi="ar-SA"/>
        </w:rPr>
        <w:t>49.91万元</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公用经费224.46万元，主要包括办公费</w:t>
      </w:r>
      <w:r>
        <w:rPr>
          <w:rFonts w:hint="eastAsia" w:ascii="Times New Roman" w:hAnsi="Times New Roman" w:eastAsia="仿宋_GB2312" w:cs="Times New Roman"/>
          <w:color w:val="auto"/>
          <w:kern w:val="2"/>
          <w:sz w:val="32"/>
          <w:szCs w:val="32"/>
          <w:lang w:val="en-US" w:eastAsia="zh-CN" w:bidi="ar-SA"/>
        </w:rPr>
        <w:t>10.53万元</w:t>
      </w:r>
      <w:r>
        <w:rPr>
          <w:rFonts w:hint="default" w:ascii="Times New Roman" w:hAnsi="Times New Roman" w:eastAsia="仿宋_GB2312" w:cs="Times New Roman"/>
          <w:color w:val="auto"/>
          <w:kern w:val="2"/>
          <w:sz w:val="32"/>
          <w:szCs w:val="32"/>
          <w:lang w:val="zh-CN" w:eastAsia="zh-CN" w:bidi="ar-SA"/>
        </w:rPr>
        <w:t>、水费</w:t>
      </w:r>
      <w:r>
        <w:rPr>
          <w:rFonts w:hint="eastAsia" w:ascii="Times New Roman" w:hAnsi="Times New Roman" w:eastAsia="仿宋_GB2312" w:cs="Times New Roman"/>
          <w:color w:val="auto"/>
          <w:kern w:val="2"/>
          <w:sz w:val="32"/>
          <w:szCs w:val="32"/>
          <w:lang w:val="en-US" w:eastAsia="zh-CN" w:bidi="ar-SA"/>
        </w:rPr>
        <w:t>10.15万元</w:t>
      </w:r>
      <w:r>
        <w:rPr>
          <w:rFonts w:hint="default" w:ascii="Times New Roman" w:hAnsi="Times New Roman" w:eastAsia="仿宋_GB2312" w:cs="Times New Roman"/>
          <w:color w:val="auto"/>
          <w:kern w:val="2"/>
          <w:sz w:val="32"/>
          <w:szCs w:val="32"/>
          <w:lang w:val="zh-CN" w:eastAsia="zh-CN" w:bidi="ar-SA"/>
        </w:rPr>
        <w:t>、电费</w:t>
      </w:r>
      <w:r>
        <w:rPr>
          <w:rFonts w:hint="eastAsia" w:ascii="Times New Roman" w:hAnsi="Times New Roman" w:eastAsia="仿宋_GB2312" w:cs="Times New Roman"/>
          <w:color w:val="auto"/>
          <w:kern w:val="2"/>
          <w:sz w:val="32"/>
          <w:szCs w:val="32"/>
          <w:lang w:val="en-US" w:eastAsia="zh-CN" w:bidi="ar-SA"/>
        </w:rPr>
        <w:t>61.48万元</w:t>
      </w:r>
      <w:r>
        <w:rPr>
          <w:rFonts w:hint="default" w:ascii="Times New Roman" w:hAnsi="Times New Roman" w:eastAsia="仿宋_GB2312" w:cs="Times New Roman"/>
          <w:color w:val="auto"/>
          <w:kern w:val="2"/>
          <w:sz w:val="32"/>
          <w:szCs w:val="32"/>
          <w:lang w:val="zh-CN" w:eastAsia="zh-CN" w:bidi="ar-SA"/>
        </w:rPr>
        <w:t>、邮电费</w:t>
      </w:r>
      <w:r>
        <w:rPr>
          <w:rFonts w:hint="eastAsia" w:ascii="Times New Roman" w:hAnsi="Times New Roman" w:eastAsia="仿宋_GB2312" w:cs="Times New Roman"/>
          <w:color w:val="auto"/>
          <w:kern w:val="2"/>
          <w:sz w:val="32"/>
          <w:szCs w:val="32"/>
          <w:lang w:val="en-US" w:eastAsia="zh-CN" w:bidi="ar-SA"/>
        </w:rPr>
        <w:t>8.11万元</w:t>
      </w:r>
      <w:r>
        <w:rPr>
          <w:rFonts w:hint="default" w:ascii="Times New Roman" w:hAnsi="Times New Roman" w:eastAsia="仿宋_GB2312" w:cs="Times New Roman"/>
          <w:color w:val="auto"/>
          <w:kern w:val="2"/>
          <w:sz w:val="32"/>
          <w:szCs w:val="32"/>
          <w:lang w:val="zh-CN" w:eastAsia="zh-CN" w:bidi="ar-SA"/>
        </w:rPr>
        <w:t>、取暖费</w:t>
      </w:r>
      <w:r>
        <w:rPr>
          <w:rFonts w:hint="eastAsia" w:ascii="Times New Roman" w:hAnsi="Times New Roman" w:eastAsia="仿宋_GB2312" w:cs="Times New Roman"/>
          <w:color w:val="auto"/>
          <w:kern w:val="2"/>
          <w:sz w:val="32"/>
          <w:szCs w:val="32"/>
          <w:lang w:val="en-US" w:eastAsia="zh-CN" w:bidi="ar-SA"/>
        </w:rPr>
        <w:t>18.06万元</w:t>
      </w:r>
      <w:r>
        <w:rPr>
          <w:rFonts w:hint="default" w:ascii="Times New Roman" w:hAnsi="Times New Roman" w:eastAsia="仿宋_GB2312" w:cs="Times New Roman"/>
          <w:color w:val="auto"/>
          <w:kern w:val="2"/>
          <w:sz w:val="32"/>
          <w:szCs w:val="32"/>
          <w:lang w:val="zh-CN" w:eastAsia="zh-CN" w:bidi="ar-SA"/>
        </w:rPr>
        <w:t>、物业管理费</w:t>
      </w:r>
      <w:r>
        <w:rPr>
          <w:rFonts w:hint="eastAsia" w:ascii="Times New Roman" w:hAnsi="Times New Roman" w:eastAsia="仿宋_GB2312" w:cs="Times New Roman"/>
          <w:color w:val="auto"/>
          <w:kern w:val="2"/>
          <w:sz w:val="32"/>
          <w:szCs w:val="32"/>
          <w:lang w:val="en-US" w:eastAsia="zh-CN" w:bidi="ar-SA"/>
        </w:rPr>
        <w:t>10.50万元</w:t>
      </w:r>
      <w:r>
        <w:rPr>
          <w:rFonts w:hint="default" w:ascii="Times New Roman" w:hAnsi="Times New Roman" w:eastAsia="仿宋_GB2312" w:cs="Times New Roman"/>
          <w:color w:val="auto"/>
          <w:kern w:val="2"/>
          <w:sz w:val="32"/>
          <w:szCs w:val="32"/>
          <w:lang w:val="zh-CN" w:eastAsia="zh-CN" w:bidi="ar-SA"/>
        </w:rPr>
        <w:t>、差旅费</w:t>
      </w:r>
      <w:r>
        <w:rPr>
          <w:rFonts w:hint="eastAsia" w:ascii="Times New Roman" w:hAnsi="Times New Roman" w:eastAsia="仿宋_GB2312" w:cs="Times New Roman"/>
          <w:color w:val="auto"/>
          <w:kern w:val="2"/>
          <w:sz w:val="32"/>
          <w:szCs w:val="32"/>
          <w:lang w:val="en-US" w:eastAsia="zh-CN" w:bidi="ar-SA"/>
        </w:rPr>
        <w:t>28.46万元</w:t>
      </w:r>
      <w:r>
        <w:rPr>
          <w:rFonts w:hint="default" w:ascii="Times New Roman" w:hAnsi="Times New Roman" w:eastAsia="仿宋_GB2312" w:cs="Times New Roman"/>
          <w:color w:val="auto"/>
          <w:kern w:val="2"/>
          <w:sz w:val="32"/>
          <w:szCs w:val="32"/>
          <w:lang w:val="zh-CN" w:eastAsia="zh-CN" w:bidi="ar-SA"/>
        </w:rPr>
        <w:t>、维修（护）费</w:t>
      </w:r>
      <w:r>
        <w:rPr>
          <w:rFonts w:hint="eastAsia" w:ascii="Times New Roman" w:hAnsi="Times New Roman" w:eastAsia="仿宋_GB2312" w:cs="Times New Roman"/>
          <w:color w:val="auto"/>
          <w:kern w:val="2"/>
          <w:sz w:val="32"/>
          <w:szCs w:val="32"/>
          <w:lang w:val="en-US" w:eastAsia="zh-CN" w:bidi="ar-SA"/>
        </w:rPr>
        <w:t>12.60万元</w:t>
      </w:r>
      <w:r>
        <w:rPr>
          <w:rFonts w:hint="default" w:ascii="Times New Roman" w:hAnsi="Times New Roman" w:eastAsia="仿宋_GB2312" w:cs="Times New Roman"/>
          <w:color w:val="auto"/>
          <w:kern w:val="2"/>
          <w:sz w:val="32"/>
          <w:szCs w:val="32"/>
          <w:lang w:val="zh-CN" w:eastAsia="zh-CN" w:bidi="ar-SA"/>
        </w:rPr>
        <w:t>、培训费</w:t>
      </w:r>
      <w:r>
        <w:rPr>
          <w:rFonts w:hint="eastAsia" w:ascii="Times New Roman" w:hAnsi="Times New Roman" w:eastAsia="仿宋_GB2312" w:cs="Times New Roman"/>
          <w:color w:val="auto"/>
          <w:kern w:val="2"/>
          <w:sz w:val="32"/>
          <w:szCs w:val="32"/>
          <w:lang w:val="en-US" w:eastAsia="zh-CN" w:bidi="ar-SA"/>
        </w:rPr>
        <w:t>12万元</w:t>
      </w:r>
      <w:r>
        <w:rPr>
          <w:rFonts w:hint="default" w:ascii="Times New Roman" w:hAnsi="Times New Roman" w:eastAsia="仿宋_GB2312" w:cs="Times New Roman"/>
          <w:color w:val="auto"/>
          <w:kern w:val="2"/>
          <w:sz w:val="32"/>
          <w:szCs w:val="32"/>
          <w:lang w:val="zh-CN" w:eastAsia="zh-CN" w:bidi="ar-SA"/>
        </w:rPr>
        <w:t>、公务接待费</w:t>
      </w:r>
      <w:r>
        <w:rPr>
          <w:rFonts w:hint="eastAsia" w:ascii="Times New Roman" w:hAnsi="Times New Roman" w:eastAsia="仿宋_GB2312" w:cs="Times New Roman"/>
          <w:color w:val="auto"/>
          <w:kern w:val="2"/>
          <w:sz w:val="32"/>
          <w:szCs w:val="32"/>
          <w:lang w:val="en-US" w:eastAsia="zh-CN" w:bidi="ar-SA"/>
        </w:rPr>
        <w:t>0.95万元</w:t>
      </w:r>
      <w:r>
        <w:rPr>
          <w:rFonts w:hint="default" w:ascii="Times New Roman" w:hAnsi="Times New Roman" w:eastAsia="仿宋_GB2312" w:cs="Times New Roman"/>
          <w:color w:val="auto"/>
          <w:kern w:val="2"/>
          <w:sz w:val="32"/>
          <w:szCs w:val="32"/>
          <w:lang w:val="zh-CN" w:eastAsia="zh-CN" w:bidi="ar-SA"/>
        </w:rPr>
        <w:t>、工会经费</w:t>
      </w:r>
      <w:r>
        <w:rPr>
          <w:rFonts w:hint="eastAsia" w:ascii="Times New Roman" w:hAnsi="Times New Roman" w:eastAsia="仿宋_GB2312" w:cs="Times New Roman"/>
          <w:color w:val="auto"/>
          <w:kern w:val="2"/>
          <w:sz w:val="32"/>
          <w:szCs w:val="32"/>
          <w:lang w:val="en-US" w:eastAsia="zh-CN" w:bidi="ar-SA"/>
        </w:rPr>
        <w:t>18.71万元</w:t>
      </w:r>
      <w:r>
        <w:rPr>
          <w:rFonts w:hint="default" w:ascii="Times New Roman" w:hAnsi="Times New Roman" w:eastAsia="仿宋_GB2312" w:cs="Times New Roman"/>
          <w:color w:val="auto"/>
          <w:kern w:val="2"/>
          <w:sz w:val="32"/>
          <w:szCs w:val="32"/>
          <w:lang w:val="zh-CN" w:eastAsia="zh-CN" w:bidi="ar-SA"/>
        </w:rPr>
        <w:t>、福利费</w:t>
      </w:r>
      <w:r>
        <w:rPr>
          <w:rFonts w:hint="eastAsia" w:ascii="Times New Roman" w:hAnsi="Times New Roman" w:eastAsia="仿宋_GB2312" w:cs="Times New Roman"/>
          <w:color w:val="auto"/>
          <w:kern w:val="2"/>
          <w:sz w:val="32"/>
          <w:szCs w:val="32"/>
          <w:lang w:val="en-US" w:eastAsia="zh-CN" w:bidi="ar-SA"/>
        </w:rPr>
        <w:t>21.98万元</w:t>
      </w:r>
      <w:r>
        <w:rPr>
          <w:rFonts w:hint="default" w:ascii="Times New Roman" w:hAnsi="Times New Roman" w:eastAsia="仿宋_GB2312" w:cs="Times New Roman"/>
          <w:color w:val="auto"/>
          <w:kern w:val="2"/>
          <w:sz w:val="32"/>
          <w:szCs w:val="32"/>
          <w:lang w:val="zh-CN" w:eastAsia="zh-CN" w:bidi="ar-SA"/>
        </w:rPr>
        <w:t>、公务用车运行维护费</w:t>
      </w:r>
      <w:r>
        <w:rPr>
          <w:rFonts w:hint="eastAsia" w:ascii="Times New Roman" w:hAnsi="Times New Roman" w:eastAsia="仿宋_GB2312" w:cs="Times New Roman"/>
          <w:color w:val="auto"/>
          <w:kern w:val="2"/>
          <w:sz w:val="32"/>
          <w:szCs w:val="32"/>
          <w:lang w:val="en-US" w:eastAsia="zh-CN" w:bidi="ar-SA"/>
        </w:rPr>
        <w:t>2.40万元</w:t>
      </w:r>
      <w:r>
        <w:rPr>
          <w:rFonts w:hint="default" w:ascii="Times New Roman" w:hAnsi="Times New Roman" w:eastAsia="仿宋_GB2312" w:cs="Times New Roman"/>
          <w:color w:val="auto"/>
          <w:kern w:val="2"/>
          <w:sz w:val="32"/>
          <w:szCs w:val="32"/>
          <w:lang w:val="zh-CN" w:eastAsia="zh-CN" w:bidi="ar-SA"/>
        </w:rPr>
        <w:t>、其他交通费用</w:t>
      </w:r>
      <w:r>
        <w:rPr>
          <w:rFonts w:hint="eastAsia" w:ascii="Times New Roman" w:hAnsi="Times New Roman" w:eastAsia="仿宋_GB2312" w:cs="Times New Roman"/>
          <w:color w:val="auto"/>
          <w:kern w:val="2"/>
          <w:sz w:val="32"/>
          <w:szCs w:val="32"/>
          <w:lang w:val="en-US" w:eastAsia="zh-CN" w:bidi="ar-SA"/>
        </w:rPr>
        <w:t>1.26万元</w:t>
      </w:r>
      <w:r>
        <w:rPr>
          <w:rFonts w:hint="default" w:ascii="Times New Roman" w:hAnsi="Times New Roman" w:eastAsia="仿宋_GB2312" w:cs="Times New Roman"/>
          <w:color w:val="auto"/>
          <w:kern w:val="2"/>
          <w:sz w:val="32"/>
          <w:szCs w:val="32"/>
          <w:lang w:val="zh-CN" w:eastAsia="zh-CN" w:bidi="ar-SA"/>
        </w:rPr>
        <w:t>、其他商品和服务支出</w:t>
      </w:r>
      <w:r>
        <w:rPr>
          <w:rFonts w:hint="eastAsia" w:ascii="Times New Roman" w:hAnsi="Times New Roman" w:eastAsia="仿宋_GB2312" w:cs="Times New Roman"/>
          <w:color w:val="auto"/>
          <w:kern w:val="2"/>
          <w:sz w:val="32"/>
          <w:szCs w:val="32"/>
          <w:lang w:val="en-US" w:eastAsia="zh-CN" w:bidi="ar-SA"/>
        </w:rPr>
        <w:t>7.28万元</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adjustRightInd w:val="0"/>
        <w:snapToGrid w:val="0"/>
        <w:spacing w:line="580" w:lineRule="exact"/>
        <w:ind w:firstLine="66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年度“三公”经费财政拨款支出预算为3.35万元，支出决算为3.35万元，完成预算的100%，</w:t>
      </w:r>
      <w:r>
        <w:rPr>
          <w:rFonts w:hint="eastAsia" w:ascii="仿宋_GB2312" w:hAnsi="Times New Roman" w:eastAsia="仿宋_GB2312" w:cs="DengXian-Regular"/>
          <w:sz w:val="32"/>
          <w:szCs w:val="32"/>
        </w:rPr>
        <w:t>较预算</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严格控制三公经费使用</w:t>
      </w:r>
      <w:r>
        <w:rPr>
          <w:rFonts w:hint="default" w:ascii="Times New Roman" w:hAnsi="Times New Roman" w:eastAsia="仿宋_GB2312" w:cs="Times New Roman"/>
          <w:color w:val="auto"/>
          <w:kern w:val="2"/>
          <w:sz w:val="32"/>
          <w:szCs w:val="32"/>
          <w:lang w:val="zh-CN" w:eastAsia="zh-CN" w:bidi="ar-SA"/>
        </w:rPr>
        <w:t>；较2022年度</w:t>
      </w:r>
      <w:r>
        <w:rPr>
          <w:rFonts w:hint="eastAsia" w:ascii="Times New Roman" w:hAnsi="Times New Roman" w:eastAsia="仿宋_GB2312" w:cs="Times New Roman"/>
          <w:color w:val="auto"/>
          <w:kern w:val="2"/>
          <w:sz w:val="32"/>
          <w:szCs w:val="32"/>
          <w:lang w:val="en-US" w:eastAsia="zh-CN" w:bidi="ar-SA"/>
        </w:rPr>
        <w:t>决算持平</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响应财政号召，严控三公经费支出</w:t>
      </w:r>
      <w:r>
        <w:rPr>
          <w:rFonts w:hint="eastAsia" w:ascii="仿宋_GB2312" w:hAnsi="Times New Roman" w:eastAsia="仿宋_GB2312" w:cs="DengXian-Regular"/>
          <w:sz w:val="32"/>
          <w:szCs w:val="32"/>
        </w:rPr>
        <w:t>。</w:t>
      </w:r>
      <w:bookmarkStart w:id="0" w:name="_GoBack"/>
      <w:bookmarkEnd w:id="0"/>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en-US" w:eastAsia="zh-CN" w:bidi="ar-SA"/>
        </w:rPr>
        <w:t>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。因公出国（境）费支出较预算</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en-US" w:eastAsia="zh-CN" w:bidi="ar-SA"/>
        </w:rPr>
        <w:t>，增长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单位无相关预算及支出</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en-US" w:eastAsia="zh-CN" w:bidi="ar-SA"/>
        </w:rPr>
        <w:t>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年度公务用车购置及运行维护费预算为2.4万元，支出决算 2.4万元，完成预算的100%,较预算</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单位无公务用车购置预算</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单位无公务用车购置预算</w:t>
      </w:r>
      <w:r>
        <w:rPr>
          <w:rFonts w:hint="eastAsia" w:ascii="仿宋_GB2312" w:hAnsi="Times New Roman" w:eastAsia="仿宋_GB2312" w:cs="DengXian-Regular"/>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2.4</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w:t>
      </w:r>
      <w:r>
        <w:rPr>
          <w:rFonts w:hint="eastAsia" w:ascii="Times New Roman" w:hAnsi="Times New Roman" w:eastAsia="仿宋_GB2312" w:cs="Times New Roman"/>
          <w:color w:val="auto"/>
          <w:kern w:val="2"/>
          <w:sz w:val="32"/>
          <w:szCs w:val="32"/>
          <w:lang w:val="en-US" w:eastAsia="zh-CN" w:bidi="ar-SA"/>
        </w:rPr>
        <w:t>财政开支</w:t>
      </w:r>
      <w:r>
        <w:rPr>
          <w:rFonts w:hint="default" w:ascii="Times New Roman" w:hAnsi="Times New Roman" w:eastAsia="仿宋_GB2312" w:cs="Times New Roman"/>
          <w:color w:val="auto"/>
          <w:kern w:val="2"/>
          <w:sz w:val="32"/>
          <w:szCs w:val="32"/>
          <w:lang w:val="zh-CN" w:eastAsia="zh-CN" w:bidi="ar-SA"/>
        </w:rPr>
        <w:t>公务车保有量1辆，发生运行维护费支出2.4万元。公车运行维护费支出较预算</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年度公务接待费支出预算为0.95万元，支出决算0.95万元，完成预算的100%。公务接待费支出较预算</w:t>
      </w:r>
      <w:r>
        <w:rPr>
          <w:rFonts w:hint="eastAsia" w:ascii="Times New Roman" w:hAnsi="Times New Roman" w:eastAsia="仿宋_GB2312" w:cs="Times New Roman"/>
          <w:color w:val="auto"/>
          <w:kern w:val="2"/>
          <w:sz w:val="32"/>
          <w:szCs w:val="32"/>
          <w:lang w:val="en-US"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本年度共发生公务接待</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zh-CN" w:eastAsia="zh-CN" w:bidi="ar-SA"/>
        </w:rPr>
        <w:t>批次、</w:t>
      </w:r>
      <w:r>
        <w:rPr>
          <w:rFonts w:hint="eastAsia" w:ascii="Times New Roman" w:hAnsi="Times New Roman" w:eastAsia="仿宋_GB2312" w:cs="Times New Roman"/>
          <w:color w:val="auto"/>
          <w:kern w:val="2"/>
          <w:sz w:val="32"/>
          <w:szCs w:val="32"/>
          <w:highlight w:val="none"/>
          <w:lang w:val="en-US" w:eastAsia="zh-CN" w:bidi="ar-SA"/>
        </w:rPr>
        <w:t>22</w:t>
      </w:r>
      <w:r>
        <w:rPr>
          <w:rFonts w:hint="default" w:ascii="Times New Roman" w:hAnsi="Times New Roman" w:eastAsia="仿宋_GB2312" w:cs="Times New Roman"/>
          <w:color w:val="auto"/>
          <w:kern w:val="2"/>
          <w:sz w:val="32"/>
          <w:szCs w:val="32"/>
          <w:highlight w:val="none"/>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snapToGrid w:val="0"/>
        <w:spacing w:line="580" w:lineRule="exact"/>
        <w:ind w:firstLine="380" w:firstLineChars="200"/>
        <w:jc w:val="left"/>
        <w:rPr>
          <w:rFonts w:hint="default" w:ascii="仿宋_GB2312" w:hAnsi="仿宋_GB2312" w:eastAsia="仿宋_GB2312" w:cs="仿宋_GB2312"/>
          <w:color w:val="000000"/>
          <w:kern w:val="0"/>
          <w:sz w:val="32"/>
          <w:szCs w:val="32"/>
          <w:lang w:val="en-US" w:eastAsia="zh-CN" w:bidi="ar"/>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eastAsia" w:ascii="仿宋_GB2312" w:hAnsi="仿宋_GB2312" w:eastAsia="仿宋_GB2312" w:cs="仿宋_GB2312"/>
          <w:color w:val="000000"/>
          <w:kern w:val="0"/>
          <w:sz w:val="32"/>
          <w:szCs w:val="32"/>
          <w:lang w:val="en-US" w:eastAsia="zh-CN" w:bidi="ar"/>
        </w:rPr>
        <w:t>我单位为事业单位，无机关运行经费。</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年度政府采购支出总额2,012.19万元，从采购类型来看，政府采购货物支出1,989.8万元、政府采购工程支出0万元、政府采购服务支出22.39万元。授予中小企业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2,012.19万元，占政府采购支出总额的100%，其中授予小微企业合同金额2,010.75万元，占政府采购支出总额的99.93%。</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highlight w:val="none"/>
          <w:lang w:val="zh-CN" w:eastAsia="zh-CN" w:bidi="ar-SA"/>
        </w:rPr>
        <w:t>截至202</w:t>
      </w:r>
      <w:r>
        <w:rPr>
          <w:rFonts w:hint="default"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zh-CN" w:eastAsia="zh-CN" w:bidi="ar-SA"/>
        </w:rPr>
        <w:t>年12月31日，本单位共有车辆14辆，比上年增加</w:t>
      </w:r>
      <w:r>
        <w:rPr>
          <w:rFonts w:hint="eastAsia" w:ascii="Times New Roman" w:hAnsi="Times New Roman" w:eastAsia="仿宋_GB2312" w:cs="Times New Roman"/>
          <w:color w:val="auto"/>
          <w:kern w:val="2"/>
          <w:sz w:val="32"/>
          <w:szCs w:val="32"/>
          <w:highlight w:val="none"/>
          <w:lang w:val="en-US" w:eastAsia="zh-CN" w:bidi="ar-SA"/>
        </w:rPr>
        <w:t>5</w:t>
      </w:r>
      <w:r>
        <w:rPr>
          <w:rFonts w:hint="default" w:ascii="Times New Roman" w:hAnsi="Times New Roman" w:eastAsia="仿宋_GB2312" w:cs="Times New Roman"/>
          <w:color w:val="auto"/>
          <w:kern w:val="2"/>
          <w:sz w:val="32"/>
          <w:szCs w:val="32"/>
          <w:highlight w:val="none"/>
          <w:lang w:val="zh-CN" w:eastAsia="zh-CN" w:bidi="ar-SA"/>
        </w:rPr>
        <w:t>辆，主要是</w:t>
      </w:r>
      <w:r>
        <w:rPr>
          <w:rFonts w:hint="eastAsia" w:ascii="Times New Roman" w:hAnsi="Times New Roman" w:eastAsia="仿宋_GB2312" w:cs="Times New Roman"/>
          <w:color w:val="auto"/>
          <w:kern w:val="2"/>
          <w:sz w:val="32"/>
          <w:szCs w:val="32"/>
          <w:highlight w:val="none"/>
          <w:lang w:val="en-US" w:eastAsia="zh-CN" w:bidi="ar-SA"/>
        </w:rPr>
        <w:t>中心按部级中心建设项目方案要求采购的专业技术用车</w:t>
      </w:r>
      <w:r>
        <w:rPr>
          <w:rFonts w:hint="default" w:ascii="Times New Roman" w:hAnsi="Times New Roman" w:eastAsia="仿宋_GB2312" w:cs="Times New Roman"/>
          <w:color w:val="auto"/>
          <w:kern w:val="2"/>
          <w:sz w:val="32"/>
          <w:szCs w:val="32"/>
          <w:highlight w:val="none"/>
          <w:lang w:val="zh-CN" w:eastAsia="zh-CN" w:bidi="ar-SA"/>
        </w:rPr>
        <w:t>。其中，副部（省）级及以上领导用车0辆，主要</w:t>
      </w:r>
      <w:r>
        <w:rPr>
          <w:rFonts w:hint="default" w:ascii="Times New Roman" w:hAnsi="Times New Roman" w:eastAsia="仿宋_GB2312" w:cs="Times New Roman"/>
          <w:color w:val="auto"/>
          <w:kern w:val="2"/>
          <w:sz w:val="32"/>
          <w:szCs w:val="32"/>
          <w:highlight w:val="none"/>
          <w:lang w:val="en-US" w:eastAsia="zh-CN" w:bidi="ar-SA"/>
        </w:rPr>
        <w:t>负责人</w:t>
      </w:r>
      <w:r>
        <w:rPr>
          <w:rFonts w:hint="default" w:ascii="Times New Roman" w:hAnsi="Times New Roman" w:eastAsia="仿宋_GB2312" w:cs="Times New Roman"/>
          <w:color w:val="auto"/>
          <w:kern w:val="2"/>
          <w:sz w:val="32"/>
          <w:szCs w:val="32"/>
          <w:highlight w:val="none"/>
          <w:lang w:val="zh-CN" w:eastAsia="zh-CN" w:bidi="ar-SA"/>
        </w:rPr>
        <w:t>用车0辆，机要通信用车0辆，应急保障用车0辆，执法执勤用车0辆，特种专业技术用车</w:t>
      </w:r>
      <w:r>
        <w:rPr>
          <w:rFonts w:hint="eastAsia" w:ascii="Times New Roman" w:hAnsi="Times New Roman" w:eastAsia="仿宋_GB2312" w:cs="Times New Roman"/>
          <w:color w:val="auto"/>
          <w:kern w:val="2"/>
          <w:sz w:val="32"/>
          <w:szCs w:val="32"/>
          <w:highlight w:val="none"/>
          <w:lang w:val="en-US" w:eastAsia="zh-CN" w:bidi="ar-SA"/>
        </w:rPr>
        <w:t>13</w:t>
      </w:r>
      <w:r>
        <w:rPr>
          <w:rFonts w:hint="default" w:ascii="Times New Roman" w:hAnsi="Times New Roman" w:eastAsia="仿宋_GB2312" w:cs="Times New Roman"/>
          <w:color w:val="auto"/>
          <w:kern w:val="2"/>
          <w:sz w:val="32"/>
          <w:szCs w:val="32"/>
          <w:highlight w:val="none"/>
          <w:lang w:val="zh-CN" w:eastAsia="zh-CN" w:bidi="ar-SA"/>
        </w:rPr>
        <w:t>辆，离退休干部用车1辆，其他用车0辆。单位价值100万元（含）以上设备（不含车辆）</w:t>
      </w:r>
      <w:r>
        <w:rPr>
          <w:rFonts w:hint="eastAsia" w:ascii="Times New Roman" w:hAnsi="Times New Roman" w:eastAsia="仿宋_GB2312" w:cs="Times New Roman"/>
          <w:color w:val="auto"/>
          <w:kern w:val="2"/>
          <w:sz w:val="32"/>
          <w:szCs w:val="32"/>
          <w:highlight w:val="none"/>
          <w:lang w:val="en-US" w:eastAsia="zh-CN" w:bidi="ar-SA"/>
        </w:rPr>
        <w:t>33</w:t>
      </w:r>
      <w:r>
        <w:rPr>
          <w:rFonts w:hint="default" w:ascii="Times New Roman" w:hAnsi="Times New Roman" w:eastAsia="仿宋_GB2312" w:cs="Times New Roman"/>
          <w:color w:val="auto"/>
          <w:kern w:val="2"/>
          <w:sz w:val="32"/>
          <w:szCs w:val="32"/>
          <w:highlight w:val="none"/>
          <w:lang w:val="zh-CN" w:eastAsia="zh-CN" w:bidi="ar-SA"/>
        </w:rPr>
        <w:t>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22</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1804.80</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%。组织对2023年度等</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%。组织对2023年度等</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highlight w:val="yellow"/>
          <w:lang w:val="zh-CN" w:eastAsia="zh-CN" w:bidi="ar-SA"/>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食药抽检经费</w:t>
      </w:r>
      <w:r>
        <w:rPr>
          <w:rFonts w:hint="default" w:ascii="Times New Roman" w:hAnsi="Times New Roman" w:eastAsia="仿宋_GB2312" w:cs="Times New Roman"/>
          <w:color w:val="auto"/>
          <w:kern w:val="2"/>
          <w:sz w:val="32"/>
          <w:szCs w:val="32"/>
          <w:lang w:val="zh-CN" w:eastAsia="zh-CN" w:bidi="ar-SA"/>
        </w:rPr>
        <w:t>”“部级中心设备购置质保金”等</w:t>
      </w:r>
      <w:r>
        <w:rPr>
          <w:rFonts w:hint="eastAsia" w:ascii="Times New Roman" w:hAnsi="Times New Roman" w:eastAsia="仿宋_GB2312" w:cs="Times New Roman"/>
          <w:color w:val="auto"/>
          <w:kern w:val="2"/>
          <w:sz w:val="32"/>
          <w:szCs w:val="32"/>
          <w:lang w:val="en-US" w:eastAsia="zh-CN" w:bidi="ar-SA"/>
        </w:rPr>
        <w:t>24</w:t>
      </w:r>
      <w:r>
        <w:rPr>
          <w:rFonts w:hint="default" w:ascii="Times New Roman" w:hAnsi="Times New Roman" w:eastAsia="仿宋_GB2312" w:cs="Times New Roman"/>
          <w:color w:val="auto"/>
          <w:kern w:val="2"/>
          <w:sz w:val="32"/>
          <w:szCs w:val="32"/>
          <w:lang w:val="zh-CN" w:eastAsia="zh-CN" w:bidi="ar-SA"/>
        </w:rPr>
        <w:t>个项目开展了</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评价，涉及一般公共预算支出</w:t>
      </w:r>
      <w:r>
        <w:rPr>
          <w:rFonts w:hint="eastAsia" w:ascii="Times New Roman" w:hAnsi="Times New Roman" w:eastAsia="仿宋_GB2312" w:cs="Times New Roman"/>
          <w:color w:val="auto"/>
          <w:kern w:val="2"/>
          <w:sz w:val="32"/>
          <w:szCs w:val="32"/>
          <w:lang w:val="en-US" w:eastAsia="zh-CN" w:bidi="ar-SA"/>
        </w:rPr>
        <w:t>1804.80</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从评价情况来看，在项目预算管理上，执行事前预算评审，事后进行结算评审，保证预算支出的有效性；在项目实施上，严格遵循招投标手续；在日常管理上，严格遵守中心内部控制制度，做到有规有矩、有章有程。切实提高了财政项目资金使用效益，丰复了财政管理手段。</w:t>
      </w:r>
    </w:p>
    <w:p>
      <w:pPr>
        <w:adjustRightInd w:val="0"/>
        <w:snapToGrid w:val="0"/>
        <w:spacing w:line="580" w:lineRule="exact"/>
        <w:ind w:left="48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（二）部门决算中项目绩效自评结果</w:t>
      </w:r>
    </w:p>
    <w:p>
      <w:pPr>
        <w:adjustRightInd w:val="0"/>
        <w:snapToGrid w:val="0"/>
        <w:spacing w:line="580" w:lineRule="exact"/>
        <w:ind w:firstLine="640" w:firstLineChars="200"/>
        <w:rPr>
          <w:rFonts w:ascii="仿宋_GB2312" w:hAnsi="仿宋_GB2312" w:eastAsia="仿宋_GB2312" w:cs="仿宋_GB2312"/>
          <w:b/>
          <w:color w:val="FF0000"/>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食药抽检经费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等26个</w:t>
      </w:r>
      <w:r>
        <w:rPr>
          <w:rFonts w:hint="eastAsia" w:ascii="仿宋_GB2312" w:hAnsi="仿宋_GB2312" w:eastAsia="仿宋_GB2312" w:cs="仿宋_GB2312"/>
          <w:sz w:val="32"/>
          <w:szCs w:val="32"/>
        </w:rPr>
        <w:t>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食药抽检经费</w:t>
      </w:r>
      <w:r>
        <w:rPr>
          <w:rFonts w:hint="eastAsia" w:ascii="仿宋_GB2312" w:hAnsi="仿宋_GB2312" w:eastAsia="仿宋_GB2312" w:cs="仿宋_GB2312"/>
          <w:sz w:val="32"/>
          <w:szCs w:val="32"/>
        </w:rPr>
        <w:t>项目绩效自评情况：根据年初设定的绩效目标，</w:t>
      </w:r>
      <w:r>
        <w:rPr>
          <w:rFonts w:hint="eastAsia" w:ascii="仿宋_GB2312" w:hAnsi="仿宋_GB2312" w:eastAsia="仿宋_GB2312" w:cs="仿宋_GB2312"/>
          <w:sz w:val="32"/>
          <w:szCs w:val="32"/>
          <w:lang w:val="en-US" w:eastAsia="zh-CN"/>
        </w:rPr>
        <w:t>食药抽检经费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99.8</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980.21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val="en-US" w:eastAsia="zh-CN"/>
        </w:rPr>
        <w:t>材料采购完成率100%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二是采购设备材料验收合格率100%，三是项目成本控制100%，四是视频抽检不合格产品处置率100%，五是服务对象满意度95%；</w:t>
      </w:r>
      <w:r>
        <w:rPr>
          <w:rFonts w:hint="eastAsia" w:ascii="仿宋_GB2312" w:hAnsi="仿宋_GB2312" w:eastAsia="仿宋_GB2312" w:cs="仿宋_GB2312"/>
          <w:sz w:val="32"/>
          <w:szCs w:val="32"/>
        </w:rPr>
        <w:t>发现的主要问题及原因是：</w:t>
      </w:r>
      <w:r>
        <w:rPr>
          <w:rFonts w:hint="eastAsia" w:ascii="仿宋_GB2312" w:hAnsi="仿宋_GB2312" w:eastAsia="仿宋_GB2312" w:cs="仿宋_GB2312"/>
          <w:sz w:val="32"/>
          <w:szCs w:val="32"/>
          <w:lang w:val="en-US" w:eastAsia="zh-CN"/>
        </w:rPr>
        <w:t>由于设计政府采购，资金支出速度相对缓慢</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val="en-US" w:eastAsia="zh-CN"/>
        </w:rPr>
        <w:t>科学谋划项目支出，提高资金指出效率</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食药</w:t>
      </w:r>
      <w:r>
        <w:rPr>
          <w:rFonts w:hint="eastAsia" w:ascii="仿宋_GB2312" w:hAnsi="仿宋_GB2312" w:eastAsia="仿宋_GB2312" w:cs="仿宋_GB2312"/>
          <w:sz w:val="32"/>
          <w:szCs w:val="32"/>
        </w:rPr>
        <w:t>项目绩效自评情况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项目顺利完成验收，采购材料和设备全部验收合格，成本控制较好，不合格产品处置率达到100%，项目评价为优秀。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p>
    <w:p>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附项目支出绩效自评表</w:t>
      </w:r>
    </w:p>
    <w:tbl>
      <w:tblPr>
        <w:tblStyle w:val="11"/>
        <w:tblW w:w="8504" w:type="dxa"/>
        <w:jc w:val="center"/>
        <w:tblInd w:w="-84" w:type="dxa"/>
        <w:shd w:val="clear" w:color="auto" w:fill="auto"/>
        <w:tblLayout w:type="fixed"/>
        <w:tblCellMar>
          <w:top w:w="0" w:type="dxa"/>
          <w:left w:w="0" w:type="dxa"/>
          <w:bottom w:w="0" w:type="dxa"/>
          <w:right w:w="0" w:type="dxa"/>
        </w:tblCellMar>
      </w:tblPr>
      <w:tblGrid>
        <w:gridCol w:w="2813"/>
        <w:gridCol w:w="653"/>
        <w:gridCol w:w="606"/>
        <w:gridCol w:w="641"/>
        <w:gridCol w:w="682"/>
        <w:gridCol w:w="1097"/>
        <w:gridCol w:w="993"/>
        <w:gridCol w:w="1019"/>
      </w:tblGrid>
      <w:tr>
        <w:tblPrEx>
          <w:shd w:val="clear" w:color="auto" w:fill="auto"/>
          <w:tblLayout w:type="fixed"/>
          <w:tblCellMar>
            <w:top w:w="0" w:type="dxa"/>
            <w:left w:w="0" w:type="dxa"/>
            <w:bottom w:w="0" w:type="dxa"/>
            <w:right w:w="0" w:type="dxa"/>
          </w:tblCellMar>
        </w:tblPrEx>
        <w:trPr>
          <w:trHeight w:val="720" w:hRule="atLeast"/>
          <w:jc w:val="center"/>
        </w:trPr>
        <w:tc>
          <w:tcPr>
            <w:tcW w:w="8504"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市级</w:t>
            </w:r>
            <w:r>
              <w:rPr>
                <w:rFonts w:hint="eastAsia" w:ascii="方正小标宋_GBK" w:hAnsi="方正小标宋_GBK" w:eastAsia="方正小标宋_GBK" w:cs="方正小标宋_GBK"/>
                <w:i w:val="0"/>
                <w:color w:val="000000"/>
                <w:kern w:val="0"/>
                <w:sz w:val="40"/>
                <w:szCs w:val="40"/>
                <w:u w:val="none"/>
                <w:lang w:val="en-US" w:eastAsia="zh-CN" w:bidi="ar"/>
              </w:rPr>
              <w:t>单位</w:t>
            </w:r>
            <w:r>
              <w:rPr>
                <w:rFonts w:hint="default" w:ascii="方正小标宋_GBK" w:hAnsi="方正小标宋_GBK" w:eastAsia="方正小标宋_GBK" w:cs="方正小标宋_GBK"/>
                <w:i w:val="0"/>
                <w:color w:val="000000"/>
                <w:kern w:val="0"/>
                <w:sz w:val="40"/>
                <w:szCs w:val="40"/>
                <w:u w:val="none"/>
                <w:lang w:val="en-US" w:eastAsia="zh-CN" w:bidi="ar"/>
              </w:rPr>
              <w:t>专项资金和预算项目资金绩效完成情况表</w:t>
            </w:r>
          </w:p>
        </w:tc>
      </w:tr>
      <w:tr>
        <w:tblPrEx>
          <w:shd w:val="clear" w:color="auto" w:fill="auto"/>
          <w:tblLayout w:type="fixed"/>
          <w:tblCellMar>
            <w:top w:w="0" w:type="dxa"/>
            <w:left w:w="0" w:type="dxa"/>
            <w:bottom w:w="0" w:type="dxa"/>
            <w:right w:w="0" w:type="dxa"/>
          </w:tblCellMar>
        </w:tblPrEx>
        <w:trPr>
          <w:trHeight w:val="439" w:hRule="atLeast"/>
          <w:jc w:val="center"/>
        </w:trPr>
        <w:tc>
          <w:tcPr>
            <w:tcW w:w="281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填报单位：唐山市食品药品综合检验检测中心</w:t>
            </w:r>
          </w:p>
        </w:tc>
        <w:tc>
          <w:tcPr>
            <w:tcW w:w="653"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4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82"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97"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93"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shd w:val="clear" w:color="auto" w:fill="auto"/>
          <w:tblLayout w:type="fixed"/>
          <w:tblCellMar>
            <w:top w:w="0" w:type="dxa"/>
            <w:left w:w="0" w:type="dxa"/>
            <w:bottom w:w="0" w:type="dxa"/>
            <w:right w:w="0" w:type="dxa"/>
          </w:tblCellMar>
        </w:tblPrEx>
        <w:trPr>
          <w:trHeight w:val="450" w:hRule="atLeast"/>
          <w:jc w:val="center"/>
        </w:trPr>
        <w:tc>
          <w:tcPr>
            <w:tcW w:w="2813"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单位单位名称</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唐山市食品药品综合检验检测中心</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专项资金（项目）周期</w:t>
            </w:r>
          </w:p>
        </w:tc>
        <w:tc>
          <w:tcPr>
            <w:tcW w:w="310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2023年</w:t>
            </w:r>
          </w:p>
        </w:tc>
      </w:tr>
      <w:tr>
        <w:tblPrEx>
          <w:shd w:val="clear" w:color="auto" w:fill="auto"/>
          <w:tblLayout w:type="fixed"/>
          <w:tblCellMar>
            <w:top w:w="0" w:type="dxa"/>
            <w:left w:w="0" w:type="dxa"/>
            <w:bottom w:w="0" w:type="dxa"/>
            <w:right w:w="0" w:type="dxa"/>
          </w:tblCellMar>
        </w:tblPrEx>
        <w:trPr>
          <w:trHeight w:val="600" w:hRule="atLeast"/>
          <w:jc w:val="center"/>
        </w:trPr>
        <w:tc>
          <w:tcPr>
            <w:tcW w:w="281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专项资金（项目）名称</w:t>
            </w:r>
          </w:p>
        </w:tc>
        <w:tc>
          <w:tcPr>
            <w:tcW w:w="12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食药抽检经费</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监控时点</w:t>
            </w:r>
          </w:p>
        </w:tc>
        <w:tc>
          <w:tcPr>
            <w:tcW w:w="310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2024.4</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25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0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999.99</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w:t>
            </w: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1000</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999.99</w:t>
            </w: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85"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21"/>
                <w:szCs w:val="21"/>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19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27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目前完成情况</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Layout w:type="fixed"/>
          <w:tblCellMar>
            <w:top w:w="0" w:type="dxa"/>
            <w:left w:w="0" w:type="dxa"/>
            <w:bottom w:w="0" w:type="dxa"/>
            <w:right w:w="0" w:type="dxa"/>
          </w:tblCellMar>
        </w:tblPrEx>
        <w:trPr>
          <w:trHeight w:val="222"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9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做好购置工作，保障单位业务开展</w:t>
            </w:r>
          </w:p>
        </w:tc>
        <w:tc>
          <w:tcPr>
            <w:tcW w:w="277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完成所需的设备、材料、办公品购置，抽检工作运行正常</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162"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9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162"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19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77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6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指标完成率</w:t>
            </w:r>
          </w:p>
        </w:tc>
      </w:tr>
      <w:tr>
        <w:tblPrEx>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w:t>
            </w: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w:t>
            </w:r>
            <w:r>
              <w:rPr>
                <w:rFonts w:hint="eastAsia" w:ascii="宋体" w:hAnsi="宋体" w:eastAsia="宋体" w:cs="宋体"/>
                <w:i w:val="0"/>
                <w:color w:val="000000"/>
                <w:kern w:val="0"/>
                <w:sz w:val="16"/>
                <w:szCs w:val="16"/>
                <w:u w:val="none"/>
                <w:lang w:val="en-US" w:eastAsia="zh-CN" w:bidi="ar"/>
              </w:rPr>
              <w:t>设备和专用材料购置完成率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验收合格率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购置完成时限</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2023.12.31</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2023.12.31</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预算执行率</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w:t>
            </w: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提升公共服务水平</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有所提升</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有所提升</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１ 服务对象满意度</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r>
      <w:tr>
        <w:tblPrEx>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Fonts w:ascii="Calibri" w:hAnsi="Calibri" w:eastAsia="宋体" w:cs="Calibri"/>
                <w:i w:val="0"/>
                <w:color w:val="000000"/>
                <w:kern w:val="0"/>
                <w:sz w:val="16"/>
                <w:szCs w:val="16"/>
                <w:u w:val="none"/>
                <w:lang w:val="en-US" w:eastAsia="zh-CN" w:bidi="ar"/>
              </w:rPr>
              <w:t xml:space="preserve"> </w:t>
            </w:r>
            <w:r>
              <w:rPr>
                <w:rStyle w:val="25"/>
                <w:lang w:val="en-US" w:eastAsia="zh-CN" w:bidi="ar"/>
              </w:rPr>
              <w:t>２</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270" w:hRule="atLeast"/>
          <w:jc w:val="center"/>
        </w:trPr>
        <w:tc>
          <w:tcPr>
            <w:tcW w:w="28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6"/>
                <w:szCs w:val="16"/>
                <w:u w:val="none"/>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3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16"/>
                <w:szCs w:val="16"/>
                <w:u w:val="none"/>
              </w:rPr>
            </w:pPr>
          </w:p>
        </w:tc>
      </w:tr>
      <w:tr>
        <w:tblPrEx>
          <w:shd w:val="clear" w:color="auto" w:fill="auto"/>
          <w:tblLayout w:type="fixed"/>
          <w:tblCellMar>
            <w:top w:w="0" w:type="dxa"/>
            <w:left w:w="0" w:type="dxa"/>
            <w:bottom w:w="0" w:type="dxa"/>
            <w:right w:w="0" w:type="dxa"/>
          </w:tblCellMar>
        </w:tblPrEx>
        <w:trPr>
          <w:trHeight w:val="923" w:hRule="atLeast"/>
          <w:jc w:val="center"/>
        </w:trPr>
        <w:tc>
          <w:tcPr>
            <w:tcW w:w="28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Fonts w:ascii="Calibri" w:hAnsi="Calibri" w:eastAsia="宋体" w:cs="Calibri"/>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绩效目标执行出现的偏差和采取的措施</w:t>
            </w:r>
          </w:p>
        </w:tc>
        <w:tc>
          <w:tcPr>
            <w:tcW w:w="5691"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(填写执行现状与年度绩效目标存在的偏差和原因分析,现在与下一步采取的纠偏措施)</w:t>
            </w:r>
          </w:p>
        </w:tc>
      </w:tr>
      <w:tr>
        <w:tblPrEx>
          <w:tblLayout w:type="fixed"/>
          <w:tblCellMar>
            <w:top w:w="0" w:type="dxa"/>
            <w:left w:w="0" w:type="dxa"/>
            <w:bottom w:w="0" w:type="dxa"/>
            <w:right w:w="0" w:type="dxa"/>
          </w:tblCellMar>
        </w:tblPrEx>
        <w:trPr>
          <w:trHeight w:val="270" w:hRule="atLeast"/>
          <w:jc w:val="center"/>
        </w:trPr>
        <w:tc>
          <w:tcPr>
            <w:tcW w:w="281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填报人：</w:t>
            </w:r>
          </w:p>
        </w:tc>
        <w:tc>
          <w:tcPr>
            <w:tcW w:w="65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葛凯</w:t>
            </w:r>
          </w:p>
        </w:tc>
        <w:tc>
          <w:tcPr>
            <w:tcW w:w="60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4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82"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97"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993"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联系电话：</w:t>
            </w:r>
          </w:p>
        </w:tc>
        <w:tc>
          <w:tcPr>
            <w:tcW w:w="101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2806805</w:t>
            </w:r>
          </w:p>
        </w:tc>
      </w:tr>
    </w:tbl>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numPr>
          <w:ilvl w:val="0"/>
          <w:numId w:val="4"/>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评价项目绩效评价结果</w:t>
      </w:r>
    </w:p>
    <w:p>
      <w:pPr>
        <w:jc w:val="center"/>
        <w:rPr>
          <w:rFonts w:ascii="宋体" w:hAnsi="宋体" w:cs="Times New Roman"/>
          <w:b/>
          <w:sz w:val="44"/>
          <w:szCs w:val="44"/>
        </w:rPr>
      </w:pPr>
      <w:r>
        <w:rPr>
          <w:rFonts w:hint="eastAsia" w:ascii="宋体" w:hAnsi="宋体" w:cs="Times New Roman"/>
          <w:b/>
          <w:sz w:val="44"/>
          <w:szCs w:val="44"/>
          <w:lang w:eastAsia="zh-CN"/>
        </w:rPr>
        <w:t>单位</w:t>
      </w:r>
      <w:r>
        <w:rPr>
          <w:rFonts w:hint="eastAsia" w:ascii="宋体" w:hAnsi="宋体" w:cs="Times New Roman"/>
          <w:b/>
          <w:sz w:val="44"/>
          <w:szCs w:val="44"/>
        </w:rPr>
        <w:t>整体</w:t>
      </w:r>
      <w:r>
        <w:rPr>
          <w:rFonts w:ascii="宋体" w:hAnsi="宋体" w:cs="Times New Roman"/>
          <w:b/>
          <w:sz w:val="44"/>
          <w:szCs w:val="44"/>
        </w:rPr>
        <w:t>绩效自评情况</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黑体" w:cs="Times New Roman"/>
          <w:b/>
          <w:sz w:val="32"/>
          <w:szCs w:val="32"/>
        </w:rPr>
      </w:pPr>
      <w:r>
        <w:rPr>
          <w:rFonts w:ascii="Times New Roman" w:hAnsi="Times New Roman" w:eastAsia="黑体" w:cs="Times New Roman"/>
          <w:b/>
          <w:sz w:val="32"/>
          <w:szCs w:val="32"/>
        </w:rPr>
        <w:t>一、</w:t>
      </w:r>
      <w:r>
        <w:rPr>
          <w:rFonts w:hint="eastAsia" w:ascii="Times New Roman" w:hAnsi="Times New Roman" w:eastAsia="黑体" w:cs="Times New Roman"/>
          <w:b/>
          <w:sz w:val="32"/>
          <w:szCs w:val="32"/>
          <w:lang w:eastAsia="zh-CN"/>
        </w:rPr>
        <w:t>单位</w:t>
      </w:r>
      <w:r>
        <w:rPr>
          <w:rFonts w:hint="eastAsia" w:ascii="Times New Roman" w:hAnsi="Times New Roman" w:eastAsia="黑体" w:cs="Times New Roman"/>
          <w:b/>
          <w:sz w:val="32"/>
          <w:szCs w:val="32"/>
        </w:rPr>
        <w:t>整体</w:t>
      </w:r>
      <w:r>
        <w:rPr>
          <w:rFonts w:ascii="Times New Roman" w:hAnsi="Times New Roman" w:eastAsia="黑体" w:cs="Times New Roman"/>
          <w:b/>
          <w:sz w:val="32"/>
          <w:szCs w:val="32"/>
        </w:rPr>
        <w:t>概况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 w:cs="Times New Roman"/>
          <w:sz w:val="32"/>
          <w:szCs w:val="32"/>
        </w:rPr>
      </w:pPr>
      <w:r>
        <w:rPr>
          <w:rFonts w:ascii="Times New Roman" w:hAnsi="Times New Roman" w:eastAsia="仿宋" w:cs="Times New Roman"/>
          <w:sz w:val="32"/>
          <w:szCs w:val="32"/>
        </w:rPr>
        <w:t>本</w:t>
      </w:r>
      <w:r>
        <w:rPr>
          <w:rFonts w:hint="eastAsia" w:ascii="Times New Roman" w:hAnsi="Times New Roman" w:eastAsia="仿宋" w:cs="Times New Roman"/>
          <w:sz w:val="32"/>
          <w:szCs w:val="32"/>
          <w:lang w:eastAsia="zh-CN"/>
        </w:rPr>
        <w:t>单位</w:t>
      </w:r>
      <w:r>
        <w:rPr>
          <w:rFonts w:ascii="Times New Roman" w:hAnsi="Times New Roman" w:eastAsia="仿宋" w:cs="Times New Roman"/>
          <w:sz w:val="32"/>
          <w:szCs w:val="32"/>
        </w:rPr>
        <w:t>20</w:t>
      </w:r>
      <w:r>
        <w:rPr>
          <w:rFonts w:hint="eastAsia" w:ascii="Times New Roman" w:hAnsi="Times New Roman" w:eastAsia="仿宋" w:cs="Times New Roman"/>
          <w:sz w:val="32"/>
          <w:szCs w:val="32"/>
          <w:lang w:val="en-US" w:eastAsia="zh-CN"/>
        </w:rPr>
        <w:t>22</w:t>
      </w:r>
      <w:r>
        <w:rPr>
          <w:rFonts w:ascii="Times New Roman" w:hAnsi="Times New Roman" w:eastAsia="仿宋" w:cs="Times New Roman"/>
          <w:sz w:val="32"/>
          <w:szCs w:val="32"/>
        </w:rPr>
        <w:t>年度申请预算</w:t>
      </w:r>
      <w:r>
        <w:rPr>
          <w:rFonts w:hint="eastAsia" w:ascii="Times New Roman" w:hAnsi="Times New Roman" w:eastAsia="仿宋" w:cs="Times New Roman"/>
          <w:sz w:val="32"/>
          <w:szCs w:val="32"/>
        </w:rPr>
        <w:t>资金</w:t>
      </w:r>
      <w:r>
        <w:rPr>
          <w:rFonts w:hint="eastAsia" w:ascii="Times New Roman" w:hAnsi="Times New Roman" w:eastAsia="仿宋" w:cs="Times New Roman"/>
          <w:sz w:val="32"/>
          <w:szCs w:val="32"/>
          <w:lang w:val="en-US" w:eastAsia="zh-CN"/>
        </w:rPr>
        <w:t>7904.51</w:t>
      </w:r>
      <w:r>
        <w:rPr>
          <w:rFonts w:hint="eastAsia" w:ascii="Times New Roman" w:hAnsi="Times New Roman" w:eastAsia="仿宋" w:cs="Times New Roman"/>
          <w:sz w:val="32"/>
          <w:szCs w:val="32"/>
        </w:rPr>
        <w:t>万元，实际支出</w:t>
      </w:r>
      <w:r>
        <w:rPr>
          <w:rFonts w:hint="eastAsia" w:ascii="Times New Roman" w:hAnsi="Times New Roman" w:eastAsia="仿宋" w:cs="Times New Roman"/>
          <w:sz w:val="32"/>
          <w:szCs w:val="32"/>
          <w:lang w:val="en-US" w:eastAsia="zh-CN"/>
        </w:rPr>
        <w:t>7344.31</w:t>
      </w:r>
      <w:r>
        <w:rPr>
          <w:rFonts w:hint="eastAsia" w:ascii="Times New Roman" w:hAnsi="Times New Roman" w:eastAsia="仿宋" w:cs="Times New Roman"/>
          <w:sz w:val="32"/>
          <w:szCs w:val="32"/>
        </w:rPr>
        <w:t>万元，预算执行率</w:t>
      </w:r>
      <w:r>
        <w:rPr>
          <w:rFonts w:hint="eastAsia" w:ascii="Times New Roman" w:hAnsi="Times New Roman" w:eastAsia="仿宋" w:cs="Times New Roman"/>
          <w:sz w:val="32"/>
          <w:szCs w:val="32"/>
          <w:lang w:val="en-US" w:eastAsia="zh-CN"/>
        </w:rPr>
        <w:t>93</w:t>
      </w:r>
      <w:r>
        <w:rPr>
          <w:rFonts w:ascii="Times New Roman" w:hAnsi="Times New Roman" w:eastAsia="仿宋" w:cs="Times New Roman"/>
          <w:sz w:val="32"/>
          <w:szCs w:val="32"/>
        </w:rPr>
        <w:t>%</w:t>
      </w:r>
      <w:r>
        <w:rPr>
          <w:rFonts w:hint="eastAsia" w:ascii="Times New Roman" w:hAnsi="Times New Roman" w:eastAsia="仿宋" w:cs="Times New Roman"/>
          <w:sz w:val="32"/>
          <w:szCs w:val="32"/>
        </w:rPr>
        <w:t>。其中：专项</w:t>
      </w:r>
      <w:r>
        <w:rPr>
          <w:rFonts w:ascii="Times New Roman" w:hAnsi="Times New Roman" w:eastAsia="仿宋" w:cs="Times New Roman"/>
          <w:sz w:val="32"/>
          <w:szCs w:val="32"/>
        </w:rPr>
        <w:t>项目</w:t>
      </w:r>
      <w:r>
        <w:rPr>
          <w:rFonts w:hint="eastAsia" w:ascii="Times New Roman" w:hAnsi="Times New Roman" w:eastAsia="仿宋" w:cs="Times New Roman"/>
          <w:sz w:val="32"/>
          <w:szCs w:val="32"/>
          <w:lang w:val="en-US" w:eastAsia="zh-CN"/>
        </w:rPr>
        <w:t>4</w:t>
      </w:r>
      <w:r>
        <w:rPr>
          <w:rFonts w:ascii="Times New Roman" w:hAnsi="Times New Roman" w:eastAsia="仿宋" w:cs="Times New Roman"/>
          <w:sz w:val="32"/>
          <w:szCs w:val="32"/>
        </w:rPr>
        <w:t>个，金额合计</w:t>
      </w:r>
      <w:r>
        <w:rPr>
          <w:rFonts w:hint="eastAsia" w:ascii="Times New Roman" w:hAnsi="Times New Roman" w:eastAsia="仿宋" w:cs="Times New Roman"/>
          <w:sz w:val="32"/>
          <w:szCs w:val="32"/>
          <w:lang w:val="en-US" w:eastAsia="zh-CN"/>
        </w:rPr>
        <w:t>2926.88</w:t>
      </w:r>
      <w:r>
        <w:rPr>
          <w:rFonts w:ascii="Times New Roman" w:hAnsi="Times New Roman" w:eastAsia="仿宋" w:cs="Times New Roman"/>
          <w:sz w:val="32"/>
          <w:szCs w:val="32"/>
        </w:rPr>
        <w:t>万元，实际</w:t>
      </w:r>
      <w:r>
        <w:rPr>
          <w:rFonts w:hint="eastAsia" w:ascii="Times New Roman" w:hAnsi="Times New Roman" w:eastAsia="仿宋" w:cs="Times New Roman"/>
          <w:sz w:val="32"/>
          <w:szCs w:val="32"/>
        </w:rPr>
        <w:t>支出</w:t>
      </w:r>
      <w:r>
        <w:rPr>
          <w:rFonts w:hint="eastAsia" w:ascii="Times New Roman" w:hAnsi="Times New Roman" w:eastAsia="仿宋" w:cs="Times New Roman"/>
          <w:sz w:val="32"/>
          <w:szCs w:val="32"/>
          <w:lang w:val="en-US" w:eastAsia="zh-CN"/>
        </w:rPr>
        <w:t>2848.11</w:t>
      </w:r>
      <w:r>
        <w:rPr>
          <w:rFonts w:ascii="Times New Roman" w:hAnsi="Times New Roman" w:eastAsia="仿宋" w:cs="Times New Roman"/>
          <w:sz w:val="32"/>
          <w:szCs w:val="32"/>
        </w:rPr>
        <w:t>万元，执行率为</w:t>
      </w:r>
      <w:r>
        <w:rPr>
          <w:rFonts w:hint="eastAsia" w:ascii="Times New Roman" w:hAnsi="Times New Roman" w:eastAsia="仿宋" w:cs="Times New Roman"/>
          <w:sz w:val="32"/>
          <w:szCs w:val="32"/>
          <w:lang w:val="en-US" w:eastAsia="zh-CN"/>
        </w:rPr>
        <w:t>98</w:t>
      </w:r>
      <w:r>
        <w:rPr>
          <w:rFonts w:ascii="Times New Roman" w:hAnsi="Times New Roman" w:eastAsia="仿宋" w:cs="Times New Roman"/>
          <w:sz w:val="32"/>
          <w:szCs w:val="32"/>
        </w:rPr>
        <w:t>%。</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黑体" w:cs="Times New Roman"/>
          <w:b/>
          <w:sz w:val="32"/>
          <w:szCs w:val="32"/>
        </w:rPr>
      </w:pPr>
      <w:r>
        <w:rPr>
          <w:rFonts w:ascii="Times New Roman" w:hAnsi="Times New Roman" w:eastAsia="黑体" w:cs="Times New Roman"/>
          <w:b/>
          <w:sz w:val="32"/>
          <w:szCs w:val="32"/>
        </w:rPr>
        <w:t>二、</w:t>
      </w:r>
      <w:r>
        <w:rPr>
          <w:rFonts w:hint="eastAsia" w:ascii="Times New Roman" w:hAnsi="Times New Roman" w:eastAsia="黑体" w:cs="Times New Roman"/>
          <w:b/>
          <w:sz w:val="32"/>
          <w:szCs w:val="32"/>
          <w:lang w:eastAsia="zh-CN"/>
        </w:rPr>
        <w:t>单位</w:t>
      </w:r>
      <w:r>
        <w:rPr>
          <w:rFonts w:ascii="Times New Roman" w:hAnsi="Times New Roman" w:eastAsia="黑体" w:cs="Times New Roman"/>
          <w:b/>
          <w:sz w:val="32"/>
          <w:szCs w:val="32"/>
        </w:rPr>
        <w:t>总体绩效目标和绩效指标设定情况</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仿宋" w:cs="Times New Roman"/>
          <w:b/>
          <w:sz w:val="32"/>
          <w:szCs w:val="32"/>
        </w:rPr>
      </w:pPr>
      <w:r>
        <w:rPr>
          <w:rFonts w:ascii="Times New Roman" w:hAnsi="Times New Roman" w:eastAsia="仿宋" w:cs="Times New Roman"/>
          <w:b/>
          <w:sz w:val="32"/>
          <w:szCs w:val="32"/>
        </w:rPr>
        <w:t>本</w:t>
      </w:r>
      <w:r>
        <w:rPr>
          <w:rFonts w:hint="eastAsia" w:ascii="Times New Roman" w:hAnsi="Times New Roman" w:eastAsia="仿宋" w:cs="Times New Roman"/>
          <w:b/>
          <w:sz w:val="32"/>
          <w:szCs w:val="32"/>
          <w:lang w:eastAsia="zh-CN"/>
        </w:rPr>
        <w:t>单位</w:t>
      </w:r>
      <w:r>
        <w:rPr>
          <w:rFonts w:ascii="Times New Roman" w:hAnsi="Times New Roman" w:eastAsia="仿宋" w:cs="Times New Roman"/>
          <w:b/>
          <w:sz w:val="32"/>
          <w:szCs w:val="32"/>
        </w:rPr>
        <w:t>年初设定的</w:t>
      </w:r>
      <w:r>
        <w:rPr>
          <w:rFonts w:hint="eastAsia" w:ascii="Times New Roman" w:hAnsi="Times New Roman" w:eastAsia="仿宋" w:cs="Times New Roman"/>
          <w:b/>
          <w:sz w:val="32"/>
          <w:szCs w:val="32"/>
          <w:lang w:eastAsia="zh-CN"/>
        </w:rPr>
        <w:t>单位</w:t>
      </w:r>
      <w:r>
        <w:rPr>
          <w:rFonts w:hint="eastAsia" w:ascii="Times New Roman" w:hAnsi="Times New Roman" w:eastAsia="仿宋" w:cs="Times New Roman"/>
          <w:b/>
          <w:sz w:val="32"/>
          <w:szCs w:val="32"/>
        </w:rPr>
        <w:t>整体</w:t>
      </w:r>
      <w:r>
        <w:rPr>
          <w:rFonts w:ascii="Times New Roman" w:hAnsi="Times New Roman" w:eastAsia="仿宋" w:cs="Times New Roman"/>
          <w:b/>
          <w:sz w:val="32"/>
          <w:szCs w:val="32"/>
        </w:rPr>
        <w:t>绩效指标是：</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全年计划完成食品、药品、蔬菜、粮油、畜（禽）产品、水产品、食用林产品、养殖投入品、水果、土肥等产品抽检任务。检测结果准确率达到98%以上，确保我市不发生重大食品质量安全事件,群众满意度达到95%以上，为我市创建食品安全城市和农产品质量安全市提供技术支撑。</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lang w:val="en-US" w:eastAsia="zh-CN"/>
        </w:rPr>
        <w:t>一</w:t>
      </w: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rPr>
        <w:t>做好中心资源整合工作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绩效目标：通过以上项目建设，进一步整合中心资源，增强检测实力，实现对全市各类食品及食品原料、药品检测的全覆盖，进一步提升检测能力和水平，为政府决策工作提供技术支撑，保障全市人民食品安全。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绩效指标：中心大楼改造工程验收合格率达到100%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 xml:space="preserve">          中心大楼改造工程效果满意度达到95%</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 xml:space="preserve">          中心大楼改造工程资金预算完成率100%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lang w:val="en-US" w:eastAsia="zh-CN"/>
        </w:rPr>
        <w:t>二</w:t>
      </w: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rPr>
        <w:t>做好食药抽检工作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绩效目标：通过以上项目建设，组织开展全食品药品抽检工作，通过优质的检测服务，为百姓农产品食用安全保驾护航。</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绩效指标：材料采购数量与预期比率达到100%。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采购设备材料验收合格率100%。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食药检测项目总成本控制在预算金额1000万元以内。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lang w:val="en-US" w:eastAsia="zh-CN"/>
        </w:rPr>
        <w:t>三</w:t>
      </w:r>
      <w:r>
        <w:rPr>
          <w:rFonts w:hint="eastAsia" w:ascii="Times New Roman" w:hAnsi="Times New Roman" w:eastAsia="仿宋" w:cs="Times New Roman"/>
          <w:b w:val="0"/>
          <w:bCs/>
          <w:color w:val="auto"/>
          <w:sz w:val="32"/>
          <w:szCs w:val="32"/>
          <w:lang w:eastAsia="zh-CN"/>
        </w:rPr>
        <w:t>）</w:t>
      </w:r>
      <w:r>
        <w:rPr>
          <w:rFonts w:hint="eastAsia" w:ascii="Times New Roman" w:hAnsi="Times New Roman" w:eastAsia="仿宋" w:cs="Times New Roman"/>
          <w:b w:val="0"/>
          <w:bCs/>
          <w:color w:val="auto"/>
          <w:sz w:val="32"/>
          <w:szCs w:val="32"/>
        </w:rPr>
        <w:t>做好全面提升检测能力和技术水平工作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目标：通过以上项目建设，以省工程技术创新中心和市产业技术研究院为载体，联合京津科研院所、高新企业，开展关键性技术协同攻关和应用研究，全面提升检测能力和技术水平，为政府决策提供技术支撑和依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绩效指标：各主管局抽样检测工作完成率100%</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 xml:space="preserve">          为县级检测机构提供技术指导3次</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仿宋" w:cs="Times New Roman"/>
          <w:b w:val="0"/>
          <w:bCs/>
          <w:color w:val="auto"/>
          <w:sz w:val="32"/>
          <w:szCs w:val="32"/>
        </w:rPr>
      </w:pPr>
      <w:r>
        <w:rPr>
          <w:rFonts w:hint="eastAsia" w:ascii="Times New Roman" w:hAnsi="Times New Roman" w:eastAsia="仿宋" w:cs="Times New Roman"/>
          <w:b w:val="0"/>
          <w:bCs/>
          <w:color w:val="auto"/>
          <w:sz w:val="32"/>
          <w:szCs w:val="32"/>
        </w:rPr>
        <w:t xml:space="preserve">          发表科研论文5篇以上</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黑体" w:cs="Times New Roman"/>
          <w:b/>
          <w:sz w:val="32"/>
          <w:szCs w:val="32"/>
        </w:rPr>
      </w:pPr>
      <w:r>
        <w:rPr>
          <w:rFonts w:ascii="Times New Roman" w:hAnsi="Times New Roman" w:eastAsia="黑体" w:cs="Times New Roman"/>
          <w:b/>
          <w:sz w:val="32"/>
          <w:szCs w:val="32"/>
        </w:rPr>
        <w:t>三、绩效评价组织情况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 w:cs="Times New Roman"/>
          <w:sz w:val="32"/>
          <w:szCs w:val="32"/>
        </w:rPr>
      </w:pPr>
      <w:r>
        <w:rPr>
          <w:rFonts w:ascii="Times New Roman" w:hAnsi="Times New Roman" w:eastAsia="仿宋" w:cs="Times New Roman"/>
          <w:sz w:val="32"/>
          <w:szCs w:val="32"/>
        </w:rPr>
        <w:t>本次绩效评价项目</w:t>
      </w:r>
      <w:r>
        <w:rPr>
          <w:rFonts w:hint="eastAsia" w:ascii="Times New Roman" w:hAnsi="Times New Roman" w:eastAsia="仿宋" w:cs="Times New Roman"/>
          <w:sz w:val="32"/>
          <w:szCs w:val="32"/>
          <w:lang w:val="en-US" w:eastAsia="zh-CN"/>
        </w:rPr>
        <w:t>4</w:t>
      </w:r>
      <w:r>
        <w:rPr>
          <w:rFonts w:ascii="Times New Roman" w:hAnsi="Times New Roman" w:eastAsia="仿宋" w:cs="Times New Roman"/>
          <w:sz w:val="32"/>
          <w:szCs w:val="32"/>
        </w:rPr>
        <w:t>个，</w:t>
      </w:r>
      <w:r>
        <w:rPr>
          <w:rFonts w:hint="eastAsia" w:ascii="Times New Roman" w:hAnsi="Times New Roman" w:eastAsia="仿宋" w:cs="Times New Roman"/>
          <w:sz w:val="32"/>
          <w:szCs w:val="32"/>
        </w:rPr>
        <w:t>占</w:t>
      </w:r>
      <w:r>
        <w:rPr>
          <w:rFonts w:hint="eastAsia" w:ascii="Times New Roman" w:hAnsi="Times New Roman" w:eastAsia="仿宋" w:cs="Times New Roman"/>
          <w:sz w:val="32"/>
          <w:szCs w:val="32"/>
          <w:lang w:eastAsia="zh-CN"/>
        </w:rPr>
        <w:t>单位</w:t>
      </w:r>
      <w:r>
        <w:rPr>
          <w:rFonts w:ascii="Times New Roman" w:hAnsi="Times New Roman" w:eastAsia="仿宋" w:cs="Times New Roman"/>
          <w:sz w:val="32"/>
          <w:szCs w:val="32"/>
        </w:rPr>
        <w:t>项目总数的</w:t>
      </w:r>
      <w:r>
        <w:rPr>
          <w:rFonts w:hint="eastAsia" w:ascii="Times New Roman" w:hAnsi="Times New Roman" w:eastAsia="仿宋" w:cs="Times New Roman"/>
          <w:sz w:val="32"/>
          <w:szCs w:val="32"/>
          <w:lang w:val="en-US" w:eastAsia="zh-CN"/>
        </w:rPr>
        <w:t>100</w:t>
      </w:r>
      <w:r>
        <w:rPr>
          <w:rFonts w:ascii="Times New Roman" w:hAnsi="Times New Roman" w:eastAsia="仿宋" w:cs="Times New Roman"/>
          <w:sz w:val="32"/>
          <w:szCs w:val="32"/>
        </w:rPr>
        <w:t>%，涉及金额</w:t>
      </w:r>
      <w:r>
        <w:rPr>
          <w:rFonts w:hint="eastAsia" w:ascii="Times New Roman" w:hAnsi="Times New Roman" w:eastAsia="仿宋" w:cs="Times New Roman"/>
          <w:sz w:val="32"/>
          <w:szCs w:val="32"/>
          <w:lang w:val="en-US" w:eastAsia="zh-CN"/>
        </w:rPr>
        <w:t>2926.88</w:t>
      </w:r>
      <w:r>
        <w:rPr>
          <w:rFonts w:ascii="Times New Roman" w:hAnsi="Times New Roman" w:eastAsia="仿宋" w:cs="Times New Roman"/>
          <w:sz w:val="32"/>
          <w:szCs w:val="32"/>
        </w:rPr>
        <w:t>万元。采取成立本</w:t>
      </w:r>
      <w:r>
        <w:rPr>
          <w:rFonts w:hint="eastAsia" w:ascii="Times New Roman" w:hAnsi="Times New Roman" w:eastAsia="仿宋" w:cs="Times New Roman"/>
          <w:sz w:val="32"/>
          <w:szCs w:val="32"/>
          <w:lang w:eastAsia="zh-CN"/>
        </w:rPr>
        <w:t>单位</w:t>
      </w:r>
      <w:r>
        <w:rPr>
          <w:rFonts w:ascii="Times New Roman" w:hAnsi="Times New Roman" w:eastAsia="仿宋" w:cs="Times New Roman"/>
          <w:sz w:val="32"/>
          <w:szCs w:val="32"/>
        </w:rPr>
        <w:t>绩效自评工作组</w:t>
      </w:r>
      <w:r>
        <w:rPr>
          <w:rFonts w:hint="eastAsia" w:ascii="Times New Roman" w:hAnsi="Times New Roman" w:eastAsia="仿宋" w:cs="Times New Roman"/>
          <w:sz w:val="32"/>
          <w:szCs w:val="32"/>
        </w:rPr>
        <w:t>的</w:t>
      </w:r>
      <w:r>
        <w:rPr>
          <w:rFonts w:ascii="Times New Roman" w:hAnsi="Times New Roman" w:eastAsia="仿宋" w:cs="Times New Roman"/>
          <w:sz w:val="32"/>
          <w:szCs w:val="32"/>
        </w:rPr>
        <w:t>形式，本着客观、公正、公开的原则开展自评工作，所有项目的绩效自评均设计了合理、明晰、可考核的、关键性产出指标和效果指标。自评结果真实可靠。</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ascii="Times New Roman" w:hAnsi="Times New Roman" w:eastAsia="黑体" w:cs="Times New Roman"/>
          <w:b/>
          <w:sz w:val="32"/>
          <w:szCs w:val="32"/>
        </w:rPr>
      </w:pPr>
      <w:r>
        <w:rPr>
          <w:rFonts w:ascii="Times New Roman" w:hAnsi="Times New Roman" w:eastAsia="黑体" w:cs="Times New Roman"/>
          <w:b/>
          <w:sz w:val="32"/>
          <w:szCs w:val="32"/>
        </w:rPr>
        <w:t>四、绩效实现情况分析</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一</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高标准建设部级质检中心。作为全国唯一筹建部级质检中心的地市级检测机构，中心认真落实市委、市政府领导批示精神，完成好“高标准建设农业农村部农产品质量安全检验测试中心（唐山）”的重点工作任务，积极推进筹建农业农村部农产品质量安全检验测试中心（唐山）各项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val="en-US" w:eastAsia="zh-CN"/>
        </w:rPr>
        <w:t>1、</w:t>
      </w:r>
      <w:r>
        <w:rPr>
          <w:rFonts w:hint="eastAsia" w:ascii="方正仿宋简体" w:hAnsi="方正仿宋简体" w:eastAsia="方正仿宋简体" w:cs="方正仿宋简体"/>
          <w:b w:val="0"/>
          <w:bCs/>
          <w:sz w:val="32"/>
          <w:szCs w:val="32"/>
        </w:rPr>
        <w:t>加速推进大楼清算评估出售工作。按照市政府专题会议纪要的要求，在市财政局的积极协调和市文旅集团的全力推进下，我中心按市政府安排积极配合市审计局完成了对项目已施工部分的清算工作，并组织评估机构对现有项目资产进行了评估，下步将尽快完成翔云大厦资产挂牌公开出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val="en-US" w:eastAsia="zh-CN"/>
        </w:rPr>
        <w:t>2、</w:t>
      </w:r>
      <w:r>
        <w:rPr>
          <w:rFonts w:hint="eastAsia" w:ascii="方正仿宋简体" w:hAnsi="方正仿宋简体" w:eastAsia="方正仿宋简体" w:cs="方正仿宋简体"/>
          <w:b w:val="0"/>
          <w:bCs/>
          <w:sz w:val="32"/>
          <w:szCs w:val="32"/>
        </w:rPr>
        <w:t>编制人社支持，增加职数编制。为更好与农业农村部有关</w:t>
      </w:r>
      <w:r>
        <w:rPr>
          <w:rFonts w:hint="eastAsia" w:ascii="方正仿宋简体" w:hAnsi="方正仿宋简体" w:eastAsia="方正仿宋简体" w:cs="方正仿宋简体"/>
          <w:b w:val="0"/>
          <w:bCs/>
          <w:sz w:val="32"/>
          <w:szCs w:val="32"/>
          <w:lang w:eastAsia="zh-CN"/>
        </w:rPr>
        <w:t>单位</w:t>
      </w:r>
      <w:r>
        <w:rPr>
          <w:rFonts w:hint="eastAsia" w:ascii="方正仿宋简体" w:hAnsi="方正仿宋简体" w:eastAsia="方正仿宋简体" w:cs="方正仿宋简体"/>
          <w:b w:val="0"/>
          <w:bCs/>
          <w:sz w:val="32"/>
          <w:szCs w:val="32"/>
        </w:rPr>
        <w:t>对接筹建相关事宜，满足部级中心筹建方案对“劳动定员”的要求。市委编办为中心增设副主任（正科级）1名、增加47个财政全额事业编制，中心编制总数达到210人；市人社局为招聘部级中心急需专业技术人员开辟绿色通道，所需人员以最短时间招录到位，现已完成岗前培训上岗工作。</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val="en-US" w:eastAsia="zh-CN"/>
        </w:rPr>
        <w:t>3、</w:t>
      </w:r>
      <w:r>
        <w:rPr>
          <w:rFonts w:hint="eastAsia" w:ascii="方正仿宋简体" w:hAnsi="方正仿宋简体" w:eastAsia="方正仿宋简体" w:cs="方正仿宋简体"/>
          <w:b w:val="0"/>
          <w:bCs/>
          <w:sz w:val="32"/>
          <w:szCs w:val="32"/>
        </w:rPr>
        <w:t>财政</w:t>
      </w:r>
      <w:r>
        <w:rPr>
          <w:rFonts w:hint="eastAsia" w:ascii="方正仿宋简体" w:hAnsi="方正仿宋简体" w:eastAsia="方正仿宋简体" w:cs="方正仿宋简体"/>
          <w:b w:val="0"/>
          <w:bCs/>
          <w:sz w:val="32"/>
          <w:szCs w:val="32"/>
          <w:lang w:eastAsia="zh-CN"/>
        </w:rPr>
        <w:t>单位</w:t>
      </w:r>
      <w:r>
        <w:rPr>
          <w:rFonts w:hint="eastAsia" w:ascii="方正仿宋简体" w:hAnsi="方正仿宋简体" w:eastAsia="方正仿宋简体" w:cs="方正仿宋简体"/>
          <w:b w:val="0"/>
          <w:bCs/>
          <w:sz w:val="32"/>
          <w:szCs w:val="32"/>
        </w:rPr>
        <w:t>支持，保证经费投入。按照筹建方案要求，市财政局安排预算资金4887.14万元购置筹建部级中心急需的检测仪器设备和专业技术用车，现已全部采购完成并安装到位，达到部级中心建设标准基本要求。</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val="en-US" w:eastAsia="zh-CN"/>
        </w:rPr>
        <w:t>4、</w:t>
      </w:r>
      <w:r>
        <w:rPr>
          <w:rFonts w:hint="eastAsia" w:ascii="方正仿宋简体" w:hAnsi="方正仿宋简体" w:eastAsia="方正仿宋简体" w:cs="方正仿宋简体"/>
          <w:b w:val="0"/>
          <w:bCs/>
          <w:sz w:val="32"/>
          <w:szCs w:val="32"/>
        </w:rPr>
        <w:t>申请“三合一”认证，做好验收准备。在人员和仪器设备均已到位的情况下，中心按照《农业部产品质量监督检验测试机构管理办法》要求，正在申请部级质检机构农产品质量安全检测机构考核、国家检验检测机构资质认定和审查认可“三合一”认证，为部级中心顺利通过验收做好充分准备。</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二</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获批部级重点实验室开展试运行。今年1月24日，我中心成为农产品质量安全学科唯一获批成为农业农村部农产品品质评价与营养健康重点实验室的地市级科研机构。依托重点实验室，我中心开展了动物源性食品中多种药物残留检测技术研究与应用和地理标志产品、名特优新农产品品质评价，建立了农产品中活性脂质等特征功能组分检测技术，研发农产品加工副产物综合利用关键技术。</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rPr>
        <w:t>按照《河北省人民政府印发的〈关于全面提升产品质量若干措施的通知〉》（冀政字〔2022〕45号）第四点强化质量服务的第（十一）条“做强检验检测机构，争创国家级质量标准实验室和更多的国家产品质量检验检测中心，对获批筹建的国家产品质量检验检测中心给予500万元资金支持，到2025年，国家产品质量检验检测中心达到16家”的规定。我中心已向市市场监管局提交申请，向省市场监管局和省财政厅为我中心申请对获批筹建国家产品质量检验检测中心给予的500万元资金支持。</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三</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大比武再获团体和个人“双第一”。今年8月，由省总工会、人社厅、农业农村厅等九厅局联合举办的2022年河北省职工职业技能大赛-农产品食品检验员赛项决赛在石家庄市举办。全省12支代表队共35名来自市县两级农产品质量安全检测技术人员参加了本次大赛，我中心王帅凭借个人总成绩第1名、种植业产品组第1名的好成绩，荣获省“五一”劳动奖章。我市代表队第5次夺得该赛事团体和个人“双第一”。</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四</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积极扩项提升检测能力。今年扩项2次共扩充食品参数236个，肥料参数13个，农产品与环境参数1个，动物产品与环境参数43个。总计扩充参数293个，使现有检测参数达到2748项，实现了从农田到企业、从市场到餐桌的全链条检测，检测参数位居全省同类检测机构前列。今年3月入选第三次全国土壤普查第一批检测实验室名录（全省共8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五</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科研工作成果丰硕。围绕产业发展和检测技术需求，中心大力开展科技创新，获批“农业农村部农产品品质评价与营养健康重点实验室”研发平台1项，省科技项目2项，省院士重点合作单位1项，省药品监督管理局科技计划项目2项，市科技计划项目1项，市高层次人才项目2项，市农业技术推广项目8项；修订并颁布农业行业标准2项，完成验收市农业技术推广项目5项；出版著作2部；授权发明专利、实用新型专利各2项；发表科研论文12篇，其中SCI论文2篇；获得中国食品工业协会科学技术三等奖1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六</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rPr>
        <w:t>对县级机构开展培训指导。帮助县级机构通过“双认证”，提前5年实现农业农村部“提升行动”目标。农业农村部决定从2022年5月起，组织开展县级农产品质量安全检测机构能力提升行动，力争用三年时间，实现县级质检机构农产品质量安全检测机构考核和检验检测机构资质认定（即“双认证”）通过率达到80%以上。我中心承担对全省县级检测机构“双认证”技术指导和培训任务，多年来通过专班培训、结对帮扶、专家服务团等形式，对全市各县（市、区）检测机构提供技术培训指导，到2020年已帮助全市12个县级检测机构中的10个通过“双认证”，帮助我市提前5年实现农业农村部“提升行动”目标。</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2023年度</w:t>
      </w:r>
      <w:r>
        <w:rPr>
          <w:rFonts w:hint="eastAsia" w:ascii="Times New Roman" w:hAnsi="Times New Roman" w:eastAsia="仿宋_GB2312" w:cs="Times New Roman"/>
          <w:sz w:val="32"/>
          <w:szCs w:val="32"/>
          <w:lang w:val="en-US" w:eastAsia="zh-CN"/>
        </w:rPr>
        <w:t>唐山市食品药品综合检验检测中心</w:t>
      </w:r>
      <w:r>
        <w:rPr>
          <w:rFonts w:hint="default" w:ascii="Times New Roman" w:hAnsi="Times New Roman" w:eastAsia="仿宋_GB2312" w:cs="Times New Roman"/>
          <w:sz w:val="32"/>
          <w:szCs w:val="32"/>
        </w:rPr>
        <w:t>无政府性基金预算</w:t>
      </w:r>
      <w:r>
        <w:rPr>
          <w:rFonts w:hint="eastAsia" w:ascii="Times New Roman" w:hAnsi="Times New Roman" w:eastAsia="仿宋_GB2312" w:cs="Times New Roman"/>
          <w:sz w:val="32"/>
          <w:szCs w:val="32"/>
          <w:lang w:val="en-US" w:eastAsia="zh-CN"/>
        </w:rPr>
        <w:t>和国有资本预算</w:t>
      </w:r>
      <w:r>
        <w:rPr>
          <w:rFonts w:hint="default" w:ascii="Times New Roman" w:hAnsi="Times New Roman" w:eastAsia="仿宋_GB2312" w:cs="Times New Roman"/>
          <w:sz w:val="32"/>
          <w:szCs w:val="32"/>
        </w:rPr>
        <w:t>，故</w:t>
      </w: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政府性基金预算财政拨款收入支出决算表、国有资本预算财政拨款收入支出决算表</w:t>
      </w:r>
      <w:r>
        <w:rPr>
          <w:rFonts w:hint="default" w:ascii="Times New Roman" w:hAnsi="Times New Roman" w:eastAsia="仿宋_GB2312" w:cs="Times New Roman"/>
          <w:sz w:val="32"/>
          <w:szCs w:val="32"/>
        </w:rPr>
        <w:t>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w:t>
      </w:r>
      <w:r>
        <w:rPr>
          <w:rFonts w:hint="eastAsia" w:ascii="Times New Roman" w:hAnsi="Times New Roman" w:eastAsia="仿宋_GB2312" w:cs="Times New Roman"/>
          <w:bCs/>
          <w:color w:val="000000"/>
          <w:kern w:val="0"/>
          <w:sz w:val="32"/>
          <w:szCs w:val="32"/>
          <w:lang w:eastAsia="zh-CN"/>
        </w:rPr>
        <w:t>单位</w:t>
      </w:r>
      <w:r>
        <w:rPr>
          <w:rFonts w:hint="default" w:ascii="Times New Roman" w:hAnsi="Times New Roman" w:eastAsia="仿宋_GB2312" w:cs="Times New Roman"/>
          <w:bCs/>
          <w:color w:val="000000"/>
          <w:kern w:val="0"/>
          <w:sz w:val="32"/>
          <w:szCs w:val="32"/>
        </w:rPr>
        <w:t>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54A2AE7-8F30-489A-BD71-20C9F0C3C443}"/>
  </w:font>
  <w:font w:name="黑体">
    <w:panose1 w:val="02010609060101010101"/>
    <w:charset w:val="86"/>
    <w:family w:val="auto"/>
    <w:pitch w:val="default"/>
    <w:sig w:usb0="800002BF" w:usb1="38CF7CFA" w:usb2="00000016" w:usb3="00000000" w:csb0="00040001" w:csb1="00000000"/>
    <w:embedRegular r:id="rId2" w:fontKey="{85E06C38-0329-40F3-93F5-AFD853C8D5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FE669FB-7CC6-4517-AA0A-6713C020BC93}"/>
  </w:font>
  <w:font w:name="仿宋">
    <w:panose1 w:val="02010609060101010101"/>
    <w:charset w:val="86"/>
    <w:family w:val="modern"/>
    <w:pitch w:val="default"/>
    <w:sig w:usb0="800002BF" w:usb1="38CF7CFA" w:usb2="00000016" w:usb3="00000000" w:csb0="00040001" w:csb1="00000000"/>
    <w:embedRegular r:id="rId4" w:fontKey="{5284F3F4-EDB8-4CC1-A9B9-6C4A9E6E938E}"/>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Arial"/>
    <w:panose1 w:val="00000000000000000000"/>
    <w:charset w:val="00"/>
    <w:family w:val="auto"/>
    <w:pitch w:val="default"/>
    <w:sig w:usb0="00000000" w:usb1="00000000" w:usb2="00000000" w:usb3="00000000" w:csb0="00000000" w:csb1="00000000"/>
  </w:font>
  <w:font w:name="方正魏碑简体">
    <w:altName w:val="微软雅黑"/>
    <w:panose1 w:val="00000000000000000000"/>
    <w:charset w:val="86"/>
    <w:family w:val="auto"/>
    <w:pitch w:val="default"/>
    <w:sig w:usb0="00000000" w:usb1="00000000" w:usb2="00000010" w:usb3="00000000" w:csb0="00040000" w:csb1="00000000"/>
    <w:embedRegular r:id="rId5" w:fontKey="{2DCF12E9-9C8F-499F-91E9-FF8D0E980D88}"/>
  </w:font>
  <w:font w:name="思源黑体 CN Heavy">
    <w:altName w:val="黑体"/>
    <w:panose1 w:val="00000000000000000000"/>
    <w:charset w:val="86"/>
    <w:family w:val="swiss"/>
    <w:pitch w:val="default"/>
    <w:sig w:usb0="00000000" w:usb1="00000000" w:usb2="00000016" w:usb3="00000000" w:csb0="00060107" w:csb1="00000000"/>
    <w:embedRegular r:id="rId6" w:fontKey="{1B1F2E8A-A5CE-46BF-9F24-D110E1A972A9}"/>
  </w:font>
  <w:font w:name="楷体_GB2312">
    <w:panose1 w:val="02010609030101010101"/>
    <w:charset w:val="86"/>
    <w:family w:val="auto"/>
    <w:pitch w:val="default"/>
    <w:sig w:usb0="00000000" w:usb1="00000000" w:usb2="00000000" w:usb3="00000000" w:csb0="00000000" w:csb1="00000000"/>
    <w:embedRegular r:id="rId7" w:fontKey="{2D67FC70-9032-4EC9-9DCE-1885C81D7FC5}"/>
  </w:font>
  <w:font w:name="仿宋_GB2312">
    <w:panose1 w:val="02010609030101010101"/>
    <w:charset w:val="86"/>
    <w:family w:val="auto"/>
    <w:pitch w:val="default"/>
    <w:sig w:usb0="00000001" w:usb1="080E0000" w:usb2="00000000" w:usb3="00000000" w:csb0="00040000" w:csb1="00000000"/>
    <w:embedRegular r:id="rId8" w:fontKey="{4B181D0E-F45E-4703-9A6D-B8D0704DFEA5}"/>
  </w:font>
  <w:font w:name="ArialUnicodeMS">
    <w:altName w:val="Malgun Gothic"/>
    <w:panose1 w:val="00000000000000000000"/>
    <w:charset w:val="81"/>
    <w:family w:val="auto"/>
    <w:pitch w:val="default"/>
    <w:sig w:usb0="00000000" w:usb1="00000000" w:usb2="00000010" w:usb3="00000000" w:csb0="00080001" w:csb1="00000000"/>
    <w:embedRegular r:id="rId9" w:fontKey="{260F9286-7DF1-489D-8FD5-FCBB468CBCBF}"/>
  </w:font>
  <w:font w:name="方正仿宋_GB2312">
    <w:altName w:val="仿宋"/>
    <w:panose1 w:val="02000000000000000000"/>
    <w:charset w:val="86"/>
    <w:family w:val="auto"/>
    <w:pitch w:val="default"/>
    <w:sig w:usb0="00000000" w:usb1="00000000" w:usb2="00000000" w:usb3="00000000" w:csb0="00000000" w:csb1="00000000"/>
    <w:embedRegular r:id="rId10" w:fontKey="{DE9B2FEE-6458-47B3-B671-DE24FB663F58}"/>
  </w:font>
  <w:font w:name="DengXian-Regular">
    <w:altName w:val="宋体"/>
    <w:panose1 w:val="00000000000000000000"/>
    <w:charset w:val="86"/>
    <w:family w:val="auto"/>
    <w:pitch w:val="default"/>
    <w:sig w:usb0="00000000" w:usb1="00000000" w:usb2="00000010" w:usb3="00000000" w:csb0="00040001" w:csb1="00000000"/>
    <w:embedRegular r:id="rId11" w:fontKey="{5D398A5D-2D61-4B93-93DC-D6B83BF2ABCF}"/>
  </w:font>
  <w:font w:name="方正小标宋_GBK">
    <w:panose1 w:val="02000000000000000000"/>
    <w:charset w:val="00"/>
    <w:family w:val="auto"/>
    <w:pitch w:val="default"/>
    <w:sig w:usb0="00000000" w:usb1="00000000" w:usb2="00000000" w:usb3="00000000" w:csb0="00000000" w:csb1="00000000"/>
    <w:embedRegular r:id="rId12" w:fontKey="{C5906611-FC7E-4DB9-9D83-39A23566FA37}"/>
  </w:font>
  <w:font w:name="方正仿宋简体">
    <w:panose1 w:val="03000509000000000000"/>
    <w:charset w:val="86"/>
    <w:family w:val="auto"/>
    <w:pitch w:val="default"/>
    <w:sig w:usb0="00000001" w:usb1="080E0000" w:usb2="00000000" w:usb3="00000000" w:csb0="00040000" w:csb1="00000000"/>
    <w:embedRegular r:id="rId13" w:fontKey="{2739CA08-5980-4EEE-838D-14F4591A7257}"/>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49AF08"/>
    <w:multiLevelType w:val="singleLevel"/>
    <w:tmpl w:val="8949AF08"/>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BBBF929"/>
    <w:multiLevelType w:val="singleLevel"/>
    <w:tmpl w:val="5BBBF929"/>
    <w:lvl w:ilvl="0" w:tentative="0">
      <w:start w:val="1"/>
      <w:numFmt w:val="decimal"/>
      <w:suff w:val="nothing"/>
      <w:lvlText w:val="%1、"/>
      <w:lvlJc w:val="left"/>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csImhkaWQiOiIzMWE1MzMwMDNjMmJhYTE1ZmE0MmVkZDFmNDA1ZThhMiIsInVzZXJDb3VudCI6N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007E4E"/>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8D462F"/>
    <w:rsid w:val="0FAA3B86"/>
    <w:rsid w:val="10191346"/>
    <w:rsid w:val="102A01A6"/>
    <w:rsid w:val="10754A6C"/>
    <w:rsid w:val="1079073F"/>
    <w:rsid w:val="108B537D"/>
    <w:rsid w:val="10B11DB1"/>
    <w:rsid w:val="11177F57"/>
    <w:rsid w:val="11217C97"/>
    <w:rsid w:val="11464C20"/>
    <w:rsid w:val="115E4926"/>
    <w:rsid w:val="118A1FFA"/>
    <w:rsid w:val="11E35B5A"/>
    <w:rsid w:val="11E42DD6"/>
    <w:rsid w:val="125F5A1B"/>
    <w:rsid w:val="126979D6"/>
    <w:rsid w:val="129E45A7"/>
    <w:rsid w:val="12FE15D9"/>
    <w:rsid w:val="130319EB"/>
    <w:rsid w:val="13074404"/>
    <w:rsid w:val="136A5C00"/>
    <w:rsid w:val="13B97B08"/>
    <w:rsid w:val="13C527AC"/>
    <w:rsid w:val="14711797"/>
    <w:rsid w:val="147B6F17"/>
    <w:rsid w:val="14D42061"/>
    <w:rsid w:val="15081C8B"/>
    <w:rsid w:val="15090D5C"/>
    <w:rsid w:val="155761F7"/>
    <w:rsid w:val="15CF053D"/>
    <w:rsid w:val="15E0131A"/>
    <w:rsid w:val="16457D9F"/>
    <w:rsid w:val="16B42C96"/>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396518"/>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7B57B0"/>
    <w:rsid w:val="24857B00"/>
    <w:rsid w:val="24F25212"/>
    <w:rsid w:val="251B0465"/>
    <w:rsid w:val="254B0AC6"/>
    <w:rsid w:val="25571AB6"/>
    <w:rsid w:val="25B40AD6"/>
    <w:rsid w:val="25BE7872"/>
    <w:rsid w:val="25BF702A"/>
    <w:rsid w:val="264D2D17"/>
    <w:rsid w:val="26D50E55"/>
    <w:rsid w:val="271A539C"/>
    <w:rsid w:val="274972D4"/>
    <w:rsid w:val="27AA3D97"/>
    <w:rsid w:val="27BD7169"/>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40B3C"/>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02843"/>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C92380"/>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516B6"/>
    <w:rsid w:val="531E524E"/>
    <w:rsid w:val="534072EB"/>
    <w:rsid w:val="537648BE"/>
    <w:rsid w:val="538E2D0B"/>
    <w:rsid w:val="53922782"/>
    <w:rsid w:val="539C1424"/>
    <w:rsid w:val="53A639C0"/>
    <w:rsid w:val="53F00A24"/>
    <w:rsid w:val="53F63DBA"/>
    <w:rsid w:val="5448624E"/>
    <w:rsid w:val="546E2B1A"/>
    <w:rsid w:val="5482555F"/>
    <w:rsid w:val="54AA6F8B"/>
    <w:rsid w:val="54D26583"/>
    <w:rsid w:val="54F572DF"/>
    <w:rsid w:val="55177497"/>
    <w:rsid w:val="55363E67"/>
    <w:rsid w:val="556E6DF7"/>
    <w:rsid w:val="55965CE3"/>
    <w:rsid w:val="559D47CE"/>
    <w:rsid w:val="55BE1959"/>
    <w:rsid w:val="56232437"/>
    <w:rsid w:val="56541A75"/>
    <w:rsid w:val="568832FC"/>
    <w:rsid w:val="568C4181"/>
    <w:rsid w:val="570725A9"/>
    <w:rsid w:val="5714693E"/>
    <w:rsid w:val="571D0C9C"/>
    <w:rsid w:val="572F7F43"/>
    <w:rsid w:val="573A16CE"/>
    <w:rsid w:val="579C7F80"/>
    <w:rsid w:val="57B30D7C"/>
    <w:rsid w:val="58166B03"/>
    <w:rsid w:val="583E3C94"/>
    <w:rsid w:val="58721734"/>
    <w:rsid w:val="58900246"/>
    <w:rsid w:val="58977358"/>
    <w:rsid w:val="58D53944"/>
    <w:rsid w:val="58D65478"/>
    <w:rsid w:val="58F52487"/>
    <w:rsid w:val="590422E6"/>
    <w:rsid w:val="59165B24"/>
    <w:rsid w:val="592257E5"/>
    <w:rsid w:val="595502FD"/>
    <w:rsid w:val="59655E33"/>
    <w:rsid w:val="59CF5BD9"/>
    <w:rsid w:val="59D236A6"/>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17173"/>
    <w:rsid w:val="64372F20"/>
    <w:rsid w:val="64DC72D7"/>
    <w:rsid w:val="64EE02A3"/>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8E400AE"/>
    <w:rsid w:val="69257FA7"/>
    <w:rsid w:val="693F26C7"/>
    <w:rsid w:val="69752F02"/>
    <w:rsid w:val="697E12B2"/>
    <w:rsid w:val="69C8706D"/>
    <w:rsid w:val="69F84AB3"/>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512D2D"/>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B80CB8"/>
    <w:rsid w:val="7AC13CD3"/>
    <w:rsid w:val="7AE10264"/>
    <w:rsid w:val="7AE4248E"/>
    <w:rsid w:val="7B356511"/>
    <w:rsid w:val="7B4A207F"/>
    <w:rsid w:val="7B936F45"/>
    <w:rsid w:val="7BA47419"/>
    <w:rsid w:val="7BB10D45"/>
    <w:rsid w:val="7BB44151"/>
    <w:rsid w:val="7C656A39"/>
    <w:rsid w:val="7CB93996"/>
    <w:rsid w:val="7CBE0F99"/>
    <w:rsid w:val="7D023373"/>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ascii="Arial Unicode MS" w:hAnsi="Arial Unicode MS" w:eastAsia="Arial Unicode MS" w:cs="Arial Unicode MS"/>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1.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woshi\Desktop\&#23548;&#20986;&#25968;&#25454;.csv"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woshi\Desktop\&#23548;&#20986;&#25968;&#25454;.csv"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woshi\Desktop\&#23548;&#20986;&#25968;&#25454;.csv"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woshi\Desktop\&#23548;&#20986;&#25968;&#25454;.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2022-2023</a:t>
            </a:r>
            <a:r>
              <a:rPr altLang="en-US"/>
              <a:t>年度收支总计对比</a:t>
            </a:r>
            <a:endParaRPr lang="en-US" altLang="zh-CN"/>
          </a:p>
        </c:rich>
      </c:tx>
      <c:layout/>
      <c:overlay val="0"/>
      <c:spPr>
        <a:noFill/>
        <a:ln>
          <a:noFill/>
        </a:ln>
        <a:effectLst/>
      </c:spPr>
    </c:title>
    <c:autoTitleDeleted val="0"/>
    <c:plotArea>
      <c:layout/>
      <c:barChart>
        <c:barDir val="col"/>
        <c:grouping val="clustered"/>
        <c:varyColors val="0"/>
        <c:ser>
          <c:idx val="0"/>
          <c:order val="0"/>
          <c:tx>
            <c:strRef>
              <c:f>[导出数据.csv]Sheet4!$A$4</c:f>
              <c:strCache>
                <c:ptCount val="1"/>
                <c:pt idx="0">
                  <c:v>2022</c:v>
                </c:pt>
              </c:strCache>
            </c:strRef>
          </c:tx>
          <c:spPr>
            <a:solidFill>
              <a:schemeClr val="accent1"/>
            </a:solidFill>
            <a:ln>
              <a:noFill/>
            </a:ln>
            <a:effectLst/>
          </c:spPr>
          <c:invertIfNegative val="0"/>
          <c:dLbls>
            <c:delete val="1"/>
          </c:dLbls>
          <c:cat>
            <c:strRef>
              <c:f>[导出数据.csv]Sheet4!$B$3:$C$3</c:f>
              <c:strCache>
                <c:ptCount val="2"/>
                <c:pt idx="0">
                  <c:v>收入（万元）</c:v>
                </c:pt>
                <c:pt idx="1">
                  <c:v>支出（万元）</c:v>
                </c:pt>
              </c:strCache>
            </c:strRef>
          </c:cat>
          <c:val>
            <c:numRef>
              <c:f>[导出数据.csv]Sheet4!$B$4:$C$4</c:f>
              <c:numCache>
                <c:formatCode>General</c:formatCode>
                <c:ptCount val="2"/>
                <c:pt idx="0">
                  <c:v>8321.57</c:v>
                </c:pt>
                <c:pt idx="1">
                  <c:v>8321.57</c:v>
                </c:pt>
              </c:numCache>
            </c:numRef>
          </c:val>
        </c:ser>
        <c:ser>
          <c:idx val="1"/>
          <c:order val="1"/>
          <c:tx>
            <c:strRef>
              <c:f>[导出数据.csv]Sheet4!$A$5</c:f>
              <c:strCache>
                <c:ptCount val="1"/>
                <c:pt idx="0">
                  <c:v>2023</c:v>
                </c:pt>
              </c:strCache>
            </c:strRef>
          </c:tx>
          <c:spPr>
            <a:solidFill>
              <a:schemeClr val="accent2"/>
            </a:solidFill>
            <a:ln>
              <a:noFill/>
            </a:ln>
            <a:effectLst/>
          </c:spPr>
          <c:invertIfNegative val="0"/>
          <c:dLbls>
            <c:delete val="1"/>
          </c:dLbls>
          <c:cat>
            <c:strRef>
              <c:f>[导出数据.csv]Sheet4!$B$3:$C$3</c:f>
              <c:strCache>
                <c:ptCount val="2"/>
                <c:pt idx="0">
                  <c:v>收入（万元）</c:v>
                </c:pt>
                <c:pt idx="1">
                  <c:v>支出（万元）</c:v>
                </c:pt>
              </c:strCache>
            </c:strRef>
          </c:cat>
          <c:val>
            <c:numRef>
              <c:f>[导出数据.csv]Sheet4!$B$5:$C$5</c:f>
              <c:numCache>
                <c:formatCode>#,##0.00</c:formatCode>
                <c:ptCount val="2"/>
                <c:pt idx="0">
                  <c:v>7559.26</c:v>
                </c:pt>
                <c:pt idx="1">
                  <c:v>7559.26</c:v>
                </c:pt>
              </c:numCache>
            </c:numRef>
          </c:val>
        </c:ser>
        <c:dLbls>
          <c:showLegendKey val="0"/>
          <c:showVal val="0"/>
          <c:showCatName val="0"/>
          <c:showSerName val="0"/>
          <c:showPercent val="0"/>
          <c:showBubbleSize val="0"/>
        </c:dLbls>
        <c:gapWidth val="219"/>
        <c:overlap val="-27"/>
        <c:axId val="174020511"/>
        <c:axId val="494312970"/>
      </c:barChart>
      <c:catAx>
        <c:axId val="1740205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4312970"/>
        <c:crosses val="autoZero"/>
        <c:auto val="1"/>
        <c:lblAlgn val="ctr"/>
        <c:lblOffset val="100"/>
        <c:noMultiLvlLbl val="0"/>
      </c:catAx>
      <c:valAx>
        <c:axId val="49431297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02051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2023</a:t>
            </a:r>
            <a:r>
              <a:rPr altLang="en-US"/>
              <a:t>年度收入决算情况</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91.06%</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8.94%%</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[导出数据.csv]Sheet3!$C$6:$C$7</c:f>
              <c:strCache>
                <c:ptCount val="2"/>
                <c:pt idx="0">
                  <c:v>财政拨款收入（百分比）</c:v>
                </c:pt>
                <c:pt idx="1">
                  <c:v>其他收入（百分比）</c:v>
                </c:pt>
              </c:strCache>
            </c:strRef>
          </c:cat>
          <c:val>
            <c:numRef>
              <c:f>[导出数据.csv]Sheet3!$D$6:$D$7</c:f>
              <c:numCache>
                <c:formatCode>#,##0.00</c:formatCode>
                <c:ptCount val="2"/>
                <c:pt idx="0">
                  <c:v>6845.25</c:v>
                </c:pt>
                <c:pt idx="1" c:formatCode="General">
                  <c:v>662.18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2023</a:t>
            </a:r>
            <a:r>
              <a:rPr altLang="en-US"/>
              <a:t>年度支出决算情况</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55.09%</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44.91%</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[导出数据.csv]Sheet3!$C$6:$C$7</c:f>
              <c:strCache>
                <c:ptCount val="2"/>
                <c:pt idx="0">
                  <c:v>基本支出（百分比）</c:v>
                </c:pt>
                <c:pt idx="1">
                  <c:v>项目支出（百分比）</c:v>
                </c:pt>
              </c:strCache>
            </c:strRef>
          </c:cat>
          <c:val>
            <c:numRef>
              <c:f>[导出数据.csv]Sheet3!$D$6:$D$7</c:f>
              <c:numCache>
                <c:formatCode>#,##0.00</c:formatCode>
                <c:ptCount val="2"/>
                <c:pt idx="0">
                  <c:v>4192.03</c:v>
                </c:pt>
                <c:pt idx="1">
                  <c:v>3338.81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2022-2023</a:t>
            </a:r>
            <a:r>
              <a:rPr altLang="en-US"/>
              <a:t>年度财政拨款收支情况对比</a:t>
            </a:r>
            <a:endParaRPr lang="en-US" altLang="zh-CN"/>
          </a:p>
        </c:rich>
      </c:tx>
      <c:layout/>
      <c:overlay val="0"/>
      <c:spPr>
        <a:noFill/>
        <a:ln>
          <a:noFill/>
        </a:ln>
        <a:effectLst/>
      </c:spPr>
    </c:title>
    <c:autoTitleDeleted val="0"/>
    <c:plotArea>
      <c:layout/>
      <c:barChart>
        <c:barDir val="col"/>
        <c:grouping val="clustered"/>
        <c:varyColors val="0"/>
        <c:ser>
          <c:idx val="0"/>
          <c:order val="0"/>
          <c:tx>
            <c:strRef>
              <c:f>[导出数据.csv]Sheet5!$C$9</c:f>
              <c:strCache>
                <c:ptCount val="1"/>
                <c:pt idx="0">
                  <c:v>2022</c:v>
                </c:pt>
              </c:strCache>
            </c:strRef>
          </c:tx>
          <c:spPr>
            <a:solidFill>
              <a:schemeClr val="accent1"/>
            </a:solidFill>
            <a:ln>
              <a:noFill/>
            </a:ln>
            <a:effectLst/>
          </c:spPr>
          <c:invertIfNegative val="0"/>
          <c:dLbls>
            <c:delete val="1"/>
          </c:dLbls>
          <c:cat>
            <c:strRef>
              <c:f>[导出数据.csv]Sheet5!$D$8:$E$8</c:f>
              <c:strCache>
                <c:ptCount val="2"/>
                <c:pt idx="0">
                  <c:v>收入（万元）</c:v>
                </c:pt>
                <c:pt idx="1">
                  <c:v>支出（万元）</c:v>
                </c:pt>
              </c:strCache>
            </c:strRef>
          </c:cat>
          <c:val>
            <c:numRef>
              <c:f>[导出数据.csv]Sheet5!$D$9:$E$9</c:f>
              <c:numCache>
                <c:formatCode>General</c:formatCode>
                <c:ptCount val="2"/>
                <c:pt idx="0">
                  <c:v>7223.18</c:v>
                </c:pt>
                <c:pt idx="1">
                  <c:v>7223.18</c:v>
                </c:pt>
              </c:numCache>
            </c:numRef>
          </c:val>
        </c:ser>
        <c:ser>
          <c:idx val="1"/>
          <c:order val="1"/>
          <c:tx>
            <c:strRef>
              <c:f>[导出数据.csv]Sheet5!$C$10</c:f>
              <c:strCache>
                <c:ptCount val="1"/>
                <c:pt idx="0">
                  <c:v>2023</c:v>
                </c:pt>
              </c:strCache>
            </c:strRef>
          </c:tx>
          <c:spPr>
            <a:solidFill>
              <a:schemeClr val="accent2"/>
            </a:solidFill>
            <a:ln>
              <a:noFill/>
            </a:ln>
            <a:effectLst/>
          </c:spPr>
          <c:invertIfNegative val="0"/>
          <c:dLbls>
            <c:delete val="1"/>
          </c:dLbls>
          <c:cat>
            <c:strRef>
              <c:f>[导出数据.csv]Sheet5!$D$8:$E$8</c:f>
              <c:strCache>
                <c:ptCount val="2"/>
                <c:pt idx="0">
                  <c:v>收入（万元）</c:v>
                </c:pt>
                <c:pt idx="1">
                  <c:v>支出（万元）</c:v>
                </c:pt>
              </c:strCache>
            </c:strRef>
          </c:cat>
          <c:val>
            <c:numRef>
              <c:f>[导出数据.csv]Sheet5!$D$10:$E$10</c:f>
              <c:numCache>
                <c:formatCode>#,##0.00</c:formatCode>
                <c:ptCount val="2"/>
                <c:pt idx="0">
                  <c:v>6748.82</c:v>
                </c:pt>
                <c:pt idx="1">
                  <c:v>6748.82</c:v>
                </c:pt>
              </c:numCache>
            </c:numRef>
          </c:val>
        </c:ser>
        <c:dLbls>
          <c:showLegendKey val="0"/>
          <c:showVal val="0"/>
          <c:showCatName val="0"/>
          <c:showSerName val="0"/>
          <c:showPercent val="0"/>
          <c:showBubbleSize val="0"/>
        </c:dLbls>
        <c:gapWidth val="219"/>
        <c:overlap val="-27"/>
        <c:axId val="724452590"/>
        <c:axId val="349753281"/>
      </c:barChart>
      <c:catAx>
        <c:axId val="72445259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9753281"/>
        <c:crosses val="autoZero"/>
        <c:auto val="1"/>
        <c:lblAlgn val="ctr"/>
        <c:lblOffset val="100"/>
        <c:noMultiLvlLbl val="0"/>
      </c:catAx>
      <c:valAx>
        <c:axId val="34975328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445259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9971</Words>
  <Characters>22786</Characters>
  <Lines>86</Lines>
  <Paragraphs>24</Paragraphs>
  <TotalTime>9</TotalTime>
  <ScaleCrop>false</ScaleCrop>
  <LinksUpToDate>false</LinksUpToDate>
  <CharactersWithSpaces>23416</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Zhang Ling Xiao</cp:lastModifiedBy>
  <cp:lastPrinted>2025-09-11T09:27:00Z</cp:lastPrinted>
  <dcterms:modified xsi:type="dcterms:W3CDTF">2025-09-19T10:21:20Z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