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567003</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：唐山市食品药品综合检验检测中心（自收自支）</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rPr>
          <w:rFonts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z w:val="72"/>
          <w:szCs w:val="96"/>
        </w:rPr>
      </w:pPr>
      <w:r>
        <w:rPr>
          <w:rFonts w:hint="eastAsia" w:ascii="黑体" w:hAnsi="黑体" w:eastAsia="黑体" w:cs="黑体"/>
          <w:b/>
          <w:bCs/>
          <w:sz w:val="72"/>
          <w:szCs w:val="96"/>
        </w:rPr>
        <w:t>2023年度</w:t>
      </w:r>
      <w:r>
        <w:rPr>
          <w:rFonts w:hint="eastAsia" w:ascii="黑体" w:hAnsi="黑体" w:eastAsia="黑体" w:cs="黑体"/>
          <w:b/>
          <w:bCs/>
          <w:sz w:val="72"/>
          <w:szCs w:val="96"/>
          <w:lang w:eastAsia="zh-CN"/>
        </w:rPr>
        <w:t>单位</w:t>
      </w:r>
      <w:r>
        <w:rPr>
          <w:rFonts w:hint="eastAsia" w:ascii="黑体" w:hAnsi="黑体" w:eastAsia="黑体" w:cs="黑体"/>
          <w:b/>
          <w:bCs/>
          <w:sz w:val="72"/>
          <w:szCs w:val="96"/>
        </w:rPr>
        <w:t>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4"/>
          <w:szCs w:val="44"/>
          <w14:textFill>
            <w14:solidFill>
              <w14:schemeClr w14:val="tx1"/>
            </w14:solidFill>
          </w14:textFill>
        </w:rPr>
      </w:pPr>
      <w:r>
        <w:rPr>
          <w:rFonts w:hint="eastAsia" w:ascii="楷体_GB2312" w:hAnsi="楷体_GB2312" w:eastAsia="楷体_GB2312" w:cs="楷体_GB2312"/>
          <w:color w:val="000000" w:themeColor="text1"/>
          <w:kern w:val="0"/>
          <w:sz w:val="44"/>
          <w:szCs w:val="44"/>
          <w14:textFill>
            <w14:solidFill>
              <w14:schemeClr w14:val="tx1"/>
            </w14:solidFill>
          </w14:textFill>
        </w:rPr>
        <w:t>唐山市食品药品综合检验检测中心（自收自支）</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二〇二四年八月</w:t>
      </w: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eastAsia="zh-CN"/>
        </w:rPr>
        <w:t>部门</w:t>
      </w:r>
      <w:r>
        <w:rPr>
          <w:rFonts w:ascii="Times New Roman" w:hAnsi="Times New Roman" w:eastAsia="黑体" w:cs="Times New Roman"/>
          <w:sz w:val="32"/>
          <w:szCs w:val="32"/>
        </w:rPr>
        <w:t>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hint="eastAsia" w:ascii="Times New Roman" w:hAnsi="Times New Roman" w:eastAsia="黑体" w:cs="Times New Roman"/>
          <w:sz w:val="32"/>
          <w:szCs w:val="32"/>
          <w:lang w:eastAsia="zh-CN"/>
        </w:rPr>
        <w:t>部门</w:t>
      </w:r>
      <w:r>
        <w:rPr>
          <w:rFonts w:ascii="Times New Roman" w:hAnsi="Times New Roman" w:eastAsia="黑体" w:cs="Times New Roman"/>
          <w:sz w:val="32"/>
          <w:szCs w:val="32"/>
        </w:rPr>
        <w:t>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spacing w:line="560" w:lineRule="atLeast"/>
        <w:ind w:firstLine="640"/>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唐山市食品药品综合检验检测中心（唐山市畜牧水产品质量监测中心）是依照《唐山市机构编制委员会关于整合组建唐山市食品药品综合检验检测中心的通知》（唐机编字〔2017〕32号）批复，整合原市农牧局、市食品药品监督管理局、市粮食局、市林业局4个局7个检测机构而成，为唐山市政府直属事业单位，经费形式为财政性资金基本保障（公益一类），规格为副县级，内设科室18个，主要负责食品、药品、农产品、农业投入品强制性和公益性检验检测以及县级暂不具备条件开展的检验检测工作。唐山市食品药品综合检验检测中心（自收自支）是依照《中共唐山市委机构编制委员会办公室关于唐山市农村经济服务处和唐山市翔云宾馆并入唐山市食品药品综合检验检测中心的批复》（唐机编办〔2020〕91号）批复并入唐山市食品药品综合检验检测中心。事业编制数9名。</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本单位</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唐山市食品药品综合检验检测中心（自收自支）</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编制单位：唐山市食品药品综合检验检测中心（自收自支）</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96.43</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96.43</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96.43</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编制单位：唐山市食品药品综合检验检测中心（自收自支）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96.43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96.43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市场监督管理事务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2013850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编制单位：唐山市食品药品综合检验检测中心（自收自支）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市场监督管理事务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2013850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5.46</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编制单位：唐山市食品药品综合检验检测中心（自收自支）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96.43</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78.53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78.53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8.29</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8.29</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5.46</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5.46</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4.15</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4.15</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96.43</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96.43</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96.43</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96.43</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9092"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9"/>
        <w:gridCol w:w="1435"/>
        <w:gridCol w:w="789"/>
        <w:gridCol w:w="1467"/>
        <w:gridCol w:w="1527"/>
        <w:gridCol w:w="729"/>
        <w:gridCol w:w="22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9092"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9092"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113"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编制单位：唐山市食品药品综合检验检测中心（自收自支）</w:t>
            </w:r>
          </w:p>
        </w:tc>
        <w:tc>
          <w:tcPr>
            <w:tcW w:w="2994"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985"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5"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768"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88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43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25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25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25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trPr>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25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96.43</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78.53</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市场监督管理事务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78.53</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2013850</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78.53</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8.29</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8.29</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5.53</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5.46</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2.62</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2.70</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0.14</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2109999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0.14</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2"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编制单位：唐山市食品药品综合检验检测中心（自收自支）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58.06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19.17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3.78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16.98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5.53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2.76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4.15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38.37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23.97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13.94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96.43</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编制单位：唐山市食品药品综合检验检测中心（自收自支）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注：本表反映单位本年度政府性基金预算财政拨款收入、支出及结转和结余情况。本单位本年度无相关收支情况，按要求已空表列示。</w:t>
            </w:r>
          </w:p>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80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041"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041"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2748"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编制单位：唐山市食品药品综合检验检测中心（自收自支）</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1332"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注：本表反映单位本年度国有资本经营预算财政拨款支出情况。本单位本年度无相关收支情况，按要求已空表列示。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编制单位：唐山市食品药品综合检验检测中心（自收自支）</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本单位本年度无相关收支情况，按要求已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w:t>
            </w:r>
          </w:p>
        </w:tc>
      </w:tr>
    </w:tbl>
    <w:p>
      <w:pPr>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_GB2312" w:hAnsi="宋体" w:eastAsia="仿宋_GB2312"/>
          <w:b/>
          <w:color w:val="auto"/>
          <w:kern w:val="0"/>
          <w:sz w:val="32"/>
          <w:szCs w:val="32"/>
          <w:highlight w:val="none"/>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96.43</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24.69</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20.38</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color w:val="auto"/>
          <w:kern w:val="2"/>
          <w:sz w:val="32"/>
          <w:szCs w:val="32"/>
          <w:lang w:val="zh-CN" w:eastAsia="zh-CN" w:bidi="ar-SA"/>
        </w:rPr>
        <w:t>人员情况发生变动，导致收支减少</w:t>
      </w:r>
      <w:r>
        <w:rPr>
          <w:rFonts w:hint="default" w:ascii="Times New Roman" w:hAnsi="Times New Roman" w:eastAsia="仿宋_GB2312" w:cs="Times New Roman"/>
          <w:kern w:val="2"/>
          <w:sz w:val="32"/>
          <w:szCs w:val="32"/>
          <w:lang w:eastAsia="zh-CN"/>
        </w:rPr>
        <w:t>。</w:t>
      </w:r>
    </w:p>
    <w:p>
      <w:pPr>
        <w:autoSpaceDE w:val="0"/>
        <w:autoSpaceDN w:val="0"/>
        <w:adjustRightInd w:val="0"/>
        <w:spacing w:line="580" w:lineRule="exact"/>
        <w:ind w:firstLine="480" w:firstLineChars="200"/>
        <w:jc w:val="left"/>
        <w:rPr>
          <w:rFonts w:hint="default" w:ascii="Times New Roman" w:hAnsi="Times New Roman" w:eastAsia="仿宋_GB2312" w:cs="Times New Roman"/>
          <w:kern w:val="2"/>
          <w:sz w:val="32"/>
          <w:szCs w:val="32"/>
          <w:lang w:val="en-US" w:eastAsia="zh-CN"/>
        </w:rPr>
      </w:pPr>
      <w:r>
        <w:drawing>
          <wp:anchor distT="0" distB="0" distL="114300" distR="114300" simplePos="0" relativeHeight="251676672" behindDoc="0" locked="0" layoutInCell="1" allowOverlap="1">
            <wp:simplePos x="0" y="0"/>
            <wp:positionH relativeFrom="column">
              <wp:posOffset>375285</wp:posOffset>
            </wp:positionH>
            <wp:positionV relativeFrom="page">
              <wp:posOffset>3115945</wp:posOffset>
            </wp:positionV>
            <wp:extent cx="4572000" cy="2743200"/>
            <wp:effectExtent l="4445" t="4445" r="14605" b="14605"/>
            <wp:wrapSquare wrapText="bothSides"/>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_GB2312" w:cs="Times New Roman"/>
          <w:kern w:val="2"/>
          <w:sz w:val="32"/>
          <w:szCs w:val="32"/>
          <w:highlight w:val="yellow"/>
          <w:lang w:val="en-US" w:eastAsia="zh-CN" w:bidi="ar-SA"/>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_GB2312" w:cs="Times New Roman"/>
          <w:kern w:val="2"/>
          <w:sz w:val="32"/>
          <w:szCs w:val="32"/>
          <w:highlight w:val="yellow"/>
          <w:lang w:val="en-US" w:eastAsia="zh-CN" w:bidi="ar-SA"/>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_GB2312" w:cs="Times New Roman"/>
          <w:kern w:val="2"/>
          <w:sz w:val="32"/>
          <w:szCs w:val="32"/>
          <w:highlight w:val="yellow"/>
          <w:lang w:val="en-US" w:eastAsia="zh-CN" w:bidi="ar-SA"/>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_GB2312" w:cs="Times New Roman"/>
          <w:kern w:val="2"/>
          <w:sz w:val="32"/>
          <w:szCs w:val="32"/>
          <w:highlight w:val="yellow"/>
          <w:lang w:val="en-US" w:eastAsia="zh-CN" w:bidi="ar-SA"/>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_GB2312" w:cs="Times New Roman"/>
          <w:kern w:val="2"/>
          <w:sz w:val="32"/>
          <w:szCs w:val="32"/>
          <w:highlight w:val="yellow"/>
          <w:lang w:val="en-US" w:eastAsia="zh-CN" w:bidi="ar-SA"/>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_GB2312" w:cs="Times New Roman"/>
          <w:kern w:val="2"/>
          <w:sz w:val="32"/>
          <w:szCs w:val="32"/>
          <w:highlight w:val="yellow"/>
          <w:lang w:val="en-US" w:eastAsia="zh-CN" w:bidi="ar-SA"/>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_GB2312" w:cs="Times New Roman"/>
          <w:kern w:val="2"/>
          <w:sz w:val="32"/>
          <w:szCs w:val="32"/>
          <w:highlight w:val="yellow"/>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96.43</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，其中：财政拨款收入96.43万元，占100%；上级补助收入0万元；事业收入0万元；经营收入0万元；附属单位上缴收入0万元；其他收入0万元</w:t>
      </w:r>
      <w:r>
        <w:rPr>
          <w:rFonts w:hint="eastAsia"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96.43万元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96.43万元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占100%；</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eastAsia" w:ascii="Times New Roman" w:hAnsi="Times New Roman" w:eastAsia="仿宋_GB2312" w:cs="Times New Roman"/>
          <w:kern w:val="2"/>
          <w:sz w:val="32"/>
          <w:szCs w:val="32"/>
          <w:lang w:val="zh-CN"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年度财政拨款本年收入96.43</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color w:val="auto"/>
          <w:kern w:val="2"/>
          <w:sz w:val="32"/>
          <w:szCs w:val="32"/>
          <w:lang w:val="en-US" w:eastAsia="zh-CN" w:bidi="ar-SA"/>
        </w:rPr>
        <w:t>24.69</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20.38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人员情况发生变动导致收入减少</w:t>
      </w:r>
      <w:r>
        <w:rPr>
          <w:rFonts w:hint="default" w:ascii="Times New Roman" w:hAnsi="Times New Roman" w:eastAsia="仿宋_GB2312" w:cs="Times New Roman"/>
          <w:color w:val="auto"/>
          <w:kern w:val="2"/>
          <w:sz w:val="32"/>
          <w:szCs w:val="32"/>
          <w:lang w:val="zh-CN" w:eastAsia="zh-CN" w:bidi="ar-SA"/>
        </w:rPr>
        <w:t>；本年支出 96.43元，比上年减少</w:t>
      </w:r>
      <w:r>
        <w:rPr>
          <w:rFonts w:hint="eastAsia" w:ascii="Times New Roman" w:hAnsi="Times New Roman" w:eastAsia="仿宋_GB2312" w:cs="Times New Roman"/>
          <w:color w:val="auto"/>
          <w:kern w:val="2"/>
          <w:sz w:val="32"/>
          <w:szCs w:val="32"/>
          <w:lang w:val="en-US" w:eastAsia="zh-CN" w:bidi="ar-SA"/>
        </w:rPr>
        <w:t>24.69</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20.38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人员情况发生变动导致支出减少</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一般公共预算财政拨款本年收入96.43</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,比上年减少</w:t>
      </w:r>
      <w:r>
        <w:rPr>
          <w:rFonts w:hint="eastAsia" w:ascii="Times New Roman" w:hAnsi="Times New Roman" w:eastAsia="仿宋_GB2312" w:cs="Times New Roman"/>
          <w:kern w:val="2"/>
          <w:sz w:val="32"/>
          <w:szCs w:val="32"/>
          <w:lang w:val="en-US" w:eastAsia="zh-CN"/>
        </w:rPr>
        <w:t>24.69</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zh-CN" w:eastAsia="zh-CN" w:bidi="ar-SA"/>
        </w:rPr>
        <w:t>人员情况发生变动导致收入减少</w:t>
      </w:r>
      <w:r>
        <w:rPr>
          <w:rFonts w:hint="default" w:ascii="Times New Roman" w:hAnsi="Times New Roman" w:eastAsia="仿宋_GB2312" w:cs="Times New Roman"/>
          <w:kern w:val="2"/>
          <w:sz w:val="32"/>
          <w:szCs w:val="32"/>
          <w:lang w:val="zh-CN"/>
        </w:rPr>
        <w:t>；本年支出 96.43</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24.69</w:t>
      </w:r>
      <w:r>
        <w:rPr>
          <w:rFonts w:hint="default"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en-US" w:eastAsia="zh-CN"/>
        </w:rPr>
        <w:t>20.38</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zh-CN" w:eastAsia="zh-CN" w:bidi="ar-SA"/>
        </w:rPr>
        <w:t>人员情况发生变动导致支出减少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万元，主要是</w:t>
      </w:r>
      <w:r>
        <w:rPr>
          <w:rFonts w:hint="eastAsia" w:ascii="仿宋_GB2312" w:hAnsi="Times New Roman" w:eastAsia="仿宋_GB2312" w:cs="DengXian-Regular"/>
          <w:sz w:val="32"/>
          <w:szCs w:val="32"/>
          <w:lang w:val="en-US" w:eastAsia="zh-CN"/>
        </w:rPr>
        <w:t>本单位</w:t>
      </w:r>
      <w:r>
        <w:rPr>
          <w:rFonts w:hint="eastAsia" w:ascii="仿宋_GB2312" w:hAnsi="Times New Roman" w:eastAsia="仿宋_GB2312" w:cs="DengXian-Regular"/>
          <w:sz w:val="32"/>
          <w:szCs w:val="32"/>
        </w:rPr>
        <w:t>无政府性基金预算</w:t>
      </w:r>
      <w:r>
        <w:rPr>
          <w:rFonts w:hint="default" w:ascii="Times New Roman" w:hAnsi="Times New Roman" w:eastAsia="仿宋_GB2312" w:cs="Times New Roman"/>
          <w:kern w:val="2"/>
          <w:sz w:val="32"/>
          <w:szCs w:val="32"/>
          <w:lang w:val="zh-CN"/>
        </w:rPr>
        <w:t>；本年支出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万元，主要是</w:t>
      </w:r>
      <w:r>
        <w:rPr>
          <w:rFonts w:hint="eastAsia" w:ascii="仿宋_GB2312" w:hAnsi="Times New Roman" w:eastAsia="仿宋_GB2312" w:cs="DengXian-Regular"/>
          <w:sz w:val="32"/>
          <w:szCs w:val="32"/>
          <w:lang w:val="en-US" w:eastAsia="zh-CN"/>
        </w:rPr>
        <w:t>本单位</w:t>
      </w:r>
      <w:r>
        <w:rPr>
          <w:rFonts w:hint="eastAsia" w:ascii="仿宋_GB2312" w:hAnsi="Times New Roman" w:eastAsia="仿宋_GB2312" w:cs="DengXian-Regular"/>
          <w:sz w:val="32"/>
          <w:szCs w:val="32"/>
        </w:rPr>
        <w:t>无政府性基金预算</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万元，主要是</w:t>
      </w:r>
      <w:r>
        <w:rPr>
          <w:rFonts w:hint="eastAsia" w:ascii="仿宋_GB2312" w:hAnsi="Times New Roman" w:eastAsia="仿宋_GB2312" w:cs="DengXian-Regular"/>
          <w:sz w:val="32"/>
          <w:szCs w:val="32"/>
          <w:lang w:val="en-US" w:eastAsia="zh-CN"/>
        </w:rPr>
        <w:t>本单位</w:t>
      </w:r>
      <w:r>
        <w:rPr>
          <w:rFonts w:hint="eastAsia" w:ascii="仿宋_GB2312" w:hAnsi="Times New Roman" w:eastAsia="仿宋_GB2312" w:cs="DengXian-Regular"/>
          <w:sz w:val="32"/>
          <w:szCs w:val="32"/>
        </w:rPr>
        <w:t>无国有资本经营预算</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万元，主要是</w:t>
      </w:r>
      <w:r>
        <w:rPr>
          <w:rFonts w:hint="eastAsia" w:ascii="仿宋_GB2312" w:hAnsi="Times New Roman" w:eastAsia="仿宋_GB2312" w:cs="DengXian-Regular"/>
          <w:sz w:val="32"/>
          <w:szCs w:val="32"/>
          <w:lang w:val="en-US" w:eastAsia="zh-CN"/>
        </w:rPr>
        <w:t>本单位</w:t>
      </w:r>
      <w:r>
        <w:rPr>
          <w:rFonts w:hint="eastAsia" w:ascii="仿宋_GB2312" w:hAnsi="Times New Roman" w:eastAsia="仿宋_GB2312" w:cs="DengXian-Regular"/>
          <w:sz w:val="32"/>
          <w:szCs w:val="32"/>
        </w:rPr>
        <w:t>无国有资本经营预算</w:t>
      </w:r>
      <w:r>
        <w:rPr>
          <w:rFonts w:hint="default" w:ascii="Times New Roman" w:hAnsi="Times New Roman" w:eastAsia="仿宋_GB2312" w:cs="Times New Roman"/>
          <w:kern w:val="2"/>
          <w:sz w:val="32"/>
          <w:szCs w:val="32"/>
          <w:lang w:val="zh-CN"/>
        </w:rPr>
        <w:t>。</w:t>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年度财政拨款本年收入96.43万元，完成年初预算的88.41%，比年初预算减少</w:t>
      </w:r>
      <w:r>
        <w:rPr>
          <w:rFonts w:hint="eastAsia" w:ascii="Times New Roman" w:hAnsi="Times New Roman" w:eastAsia="仿宋_GB2312" w:cs="Times New Roman"/>
          <w:color w:val="auto"/>
          <w:kern w:val="2"/>
          <w:sz w:val="32"/>
          <w:szCs w:val="32"/>
          <w:lang w:val="en-US" w:eastAsia="zh-CN" w:bidi="ar-SA"/>
        </w:rPr>
        <w:t>12.64</w:t>
      </w:r>
      <w:r>
        <w:rPr>
          <w:rFonts w:hint="default" w:ascii="Times New Roman" w:hAnsi="Times New Roman" w:eastAsia="仿宋_GB2312" w:cs="Times New Roman"/>
          <w:color w:val="auto"/>
          <w:kern w:val="2"/>
          <w:sz w:val="32"/>
          <w:szCs w:val="32"/>
          <w:lang w:val="zh-CN" w:eastAsia="zh-CN" w:bidi="ar-SA"/>
        </w:rPr>
        <w:t>万元，决算数小于预算数主要原因是</w:t>
      </w:r>
      <w:r>
        <w:rPr>
          <w:rFonts w:hint="eastAsia" w:ascii="Times New Roman" w:hAnsi="Times New Roman" w:eastAsia="仿宋_GB2312" w:cs="Times New Roman"/>
          <w:color w:val="auto"/>
          <w:kern w:val="2"/>
          <w:sz w:val="32"/>
          <w:szCs w:val="32"/>
          <w:lang w:val="zh-CN" w:eastAsia="zh-CN" w:bidi="ar-SA"/>
        </w:rPr>
        <w:t>人员情况发生变动，导致收入减少</w:t>
      </w:r>
      <w:r>
        <w:rPr>
          <w:rFonts w:hint="default" w:ascii="Times New Roman" w:hAnsi="Times New Roman" w:eastAsia="仿宋_GB2312" w:cs="Times New Roman"/>
          <w:color w:val="auto"/>
          <w:kern w:val="2"/>
          <w:sz w:val="32"/>
          <w:szCs w:val="32"/>
          <w:lang w:val="zh-CN" w:eastAsia="zh-CN" w:bidi="ar-SA"/>
        </w:rPr>
        <w:t>；本年支出96.43万元，完成年初预算的88.41%，比年初预算减少</w:t>
      </w:r>
      <w:r>
        <w:rPr>
          <w:rFonts w:hint="eastAsia" w:ascii="Times New Roman" w:hAnsi="Times New Roman" w:eastAsia="仿宋_GB2312" w:cs="Times New Roman"/>
          <w:color w:val="auto"/>
          <w:kern w:val="2"/>
          <w:sz w:val="32"/>
          <w:szCs w:val="32"/>
          <w:lang w:val="en-US" w:eastAsia="zh-CN" w:bidi="ar-SA"/>
        </w:rPr>
        <w:t>12.64</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color w:val="auto"/>
          <w:kern w:val="2"/>
          <w:sz w:val="32"/>
          <w:szCs w:val="32"/>
          <w:lang w:val="zh-CN" w:eastAsia="zh-CN" w:bidi="ar-SA"/>
        </w:rPr>
        <w:t>人员情况发生变动，导致支出减少</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收入96.43万元，完成年初预算的 88.41%，比年初预算</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12.64</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color w:val="auto"/>
          <w:kern w:val="2"/>
          <w:sz w:val="32"/>
          <w:szCs w:val="32"/>
          <w:lang w:val="zh-CN" w:eastAsia="zh-CN" w:bidi="ar-SA"/>
        </w:rPr>
        <w:t>人员情况发生变动，导致收入减少</w:t>
      </w:r>
      <w:r>
        <w:rPr>
          <w:rFonts w:hint="default" w:ascii="Times New Roman" w:hAnsi="Times New Roman" w:eastAsia="仿宋_GB2312" w:cs="Times New Roman"/>
          <w:kern w:val="2"/>
          <w:sz w:val="32"/>
          <w:szCs w:val="32"/>
          <w:lang w:val="zh-CN"/>
        </w:rPr>
        <w:t>；本年支出96.43万元，完成年初预算的88.41%，比年初预算</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12.64</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color w:val="auto"/>
          <w:kern w:val="2"/>
          <w:sz w:val="32"/>
          <w:szCs w:val="32"/>
          <w:lang w:val="zh-CN" w:eastAsia="zh-CN" w:bidi="ar-SA"/>
        </w:rPr>
        <w:t>人员情况发生变动，导致支出减少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 xml:space="preserve">2. </w:t>
      </w:r>
      <w:r>
        <w:rPr>
          <w:rFonts w:hint="eastAsia" w:ascii="仿宋_GB2312" w:hAnsi="Times New Roman" w:eastAsia="仿宋_GB2312" w:cs="DengXian-Regular"/>
          <w:sz w:val="32"/>
          <w:szCs w:val="32"/>
          <w:lang w:val="en-US" w:eastAsia="zh-CN"/>
        </w:rPr>
        <w:t>本单位</w:t>
      </w:r>
      <w:r>
        <w:rPr>
          <w:rFonts w:hint="eastAsia" w:ascii="仿宋_GB2312" w:hAnsi="Times New Roman" w:eastAsia="仿宋_GB2312" w:cs="DengXian-Regular"/>
          <w:sz w:val="32"/>
          <w:szCs w:val="32"/>
        </w:rPr>
        <w:t>无政府性基金预算</w:t>
      </w:r>
      <w:r>
        <w:rPr>
          <w:rFonts w:hint="eastAsia" w:ascii="仿宋_GB2312" w:hAnsi="Times New Roman" w:eastAsia="仿宋_GB2312" w:cs="DengXian-Regular"/>
          <w:sz w:val="32"/>
          <w:szCs w:val="32"/>
          <w:lang w:val="en-US" w:eastAsia="zh-CN"/>
        </w:rPr>
        <w:t>财政拨款</w:t>
      </w:r>
      <w:r>
        <w:rPr>
          <w:rFonts w:hint="eastAsia" w:ascii="仿宋_GB2312" w:hAnsi="Times New Roman" w:eastAsia="仿宋_GB2312" w:cs="DengXian-Regular"/>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kern w:val="2"/>
          <w:sz w:val="32"/>
          <w:szCs w:val="32"/>
          <w:lang w:val="zh-CN"/>
        </w:rPr>
        <w:t xml:space="preserve">3. </w:t>
      </w:r>
      <w:r>
        <w:rPr>
          <w:rFonts w:hint="eastAsia" w:ascii="仿宋_GB2312" w:hAnsi="Times New Roman" w:eastAsia="仿宋_GB2312" w:cs="DengXian-Regular"/>
          <w:sz w:val="32"/>
          <w:szCs w:val="32"/>
          <w:lang w:val="en-US" w:eastAsia="zh-CN"/>
        </w:rPr>
        <w:t>本单位</w:t>
      </w:r>
      <w:r>
        <w:rPr>
          <w:rFonts w:hint="eastAsia" w:ascii="仿宋_GB2312" w:hAnsi="Times New Roman" w:eastAsia="仿宋_GB2312" w:cs="DengXian-Regular"/>
          <w:sz w:val="32"/>
          <w:szCs w:val="32"/>
        </w:rPr>
        <w:t>无国有资本经营预算</w:t>
      </w:r>
      <w:r>
        <w:rPr>
          <w:rFonts w:hint="eastAsia" w:ascii="仿宋_GB2312" w:hAnsi="Times New Roman" w:eastAsia="仿宋_GB2312" w:cs="DengXian-Regular"/>
          <w:sz w:val="32"/>
          <w:szCs w:val="32"/>
          <w:lang w:val="en-US" w:eastAsia="zh-CN"/>
        </w:rPr>
        <w:t>财政拨款</w:t>
      </w:r>
      <w:r>
        <w:rPr>
          <w:rFonts w:hint="eastAsia" w:ascii="仿宋_GB2312" w:hAnsi="Times New Roman" w:eastAsia="仿宋_GB2312" w:cs="DengXian-Regular"/>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年度财政拨款支出96.43万元，主要用于以下方面：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一般公共服务（类）支出78.53万元，占81.44%；社会保障和就业 （类）支出8.29万元，占8.6%；卫生健康（类）支出5.46万元，占5.67%；住房保障（类）支出4.15万元，占4.3%</w:t>
      </w:r>
      <w:r>
        <w:rPr>
          <w:rFonts w:hint="eastAsia" w:ascii="Times New Roman" w:hAnsi="Times New Roman" w:eastAsia="仿宋_GB2312" w:cs="Times New Roman"/>
          <w:color w:val="auto"/>
          <w:kern w:val="2"/>
          <w:sz w:val="32"/>
          <w:szCs w:val="32"/>
          <w:lang w:val="zh-CN" w:eastAsia="zh-CN" w:bidi="ar-SA"/>
        </w:rPr>
        <w:t>。主要用于人员支出。</w:t>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r>
        <w:rPr>
          <w:rFonts w:hint="default" w:ascii="Times New Roman" w:hAnsi="Times New Roman" w:eastAsia="楷体_GB2312" w:cs="Times New Roman"/>
          <w:b/>
          <w:bCs/>
          <w:kern w:val="2"/>
          <w:sz w:val="32"/>
          <w:szCs w:val="32"/>
          <w:lang w:val="en-US" w:eastAsia="zh-CN" w:bidi="ar-SA"/>
        </w:rPr>
        <w:t>一般公共预算基本支出决算情况说明</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年度财政拨款基本支出96.43万元，其中：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人员经费96.43万元，主要包括基本工资</w:t>
      </w:r>
      <w:r>
        <w:rPr>
          <w:rFonts w:hint="eastAsia" w:ascii="Times New Roman" w:hAnsi="Times New Roman" w:eastAsia="仿宋_GB2312" w:cs="Times New Roman"/>
          <w:color w:val="auto"/>
          <w:kern w:val="2"/>
          <w:sz w:val="32"/>
          <w:szCs w:val="32"/>
          <w:lang w:val="en-US" w:eastAsia="zh-CN" w:bidi="ar-SA"/>
        </w:rPr>
        <w:t>19.17万元</w:t>
      </w:r>
      <w:r>
        <w:rPr>
          <w:rFonts w:hint="default" w:ascii="Times New Roman" w:hAnsi="Times New Roman" w:eastAsia="仿宋_GB2312" w:cs="Times New Roman"/>
          <w:color w:val="auto"/>
          <w:kern w:val="2"/>
          <w:sz w:val="32"/>
          <w:szCs w:val="32"/>
          <w:lang w:val="zh-CN" w:eastAsia="zh-CN" w:bidi="ar-SA"/>
        </w:rPr>
        <w:t>、津贴补贴</w:t>
      </w:r>
      <w:r>
        <w:rPr>
          <w:rFonts w:hint="eastAsia" w:ascii="Times New Roman" w:hAnsi="Times New Roman" w:eastAsia="仿宋_GB2312" w:cs="Times New Roman"/>
          <w:color w:val="auto"/>
          <w:kern w:val="2"/>
          <w:sz w:val="32"/>
          <w:szCs w:val="32"/>
          <w:lang w:val="en-US" w:eastAsia="zh-CN" w:bidi="ar-SA"/>
        </w:rPr>
        <w:t>3.78万元</w:t>
      </w:r>
      <w:r>
        <w:rPr>
          <w:rFonts w:hint="default" w:ascii="Times New Roman" w:hAnsi="Times New Roman" w:eastAsia="仿宋_GB2312" w:cs="Times New Roman"/>
          <w:color w:val="auto"/>
          <w:kern w:val="2"/>
          <w:sz w:val="32"/>
          <w:szCs w:val="32"/>
          <w:lang w:val="zh-CN" w:eastAsia="zh-CN" w:bidi="ar-SA"/>
        </w:rPr>
        <w:t>、绩效工资</w:t>
      </w:r>
      <w:r>
        <w:rPr>
          <w:rFonts w:hint="eastAsia" w:ascii="Times New Roman" w:hAnsi="Times New Roman" w:eastAsia="仿宋_GB2312" w:cs="Times New Roman"/>
          <w:color w:val="auto"/>
          <w:kern w:val="2"/>
          <w:sz w:val="32"/>
          <w:szCs w:val="32"/>
          <w:lang w:val="en-US" w:eastAsia="zh-CN" w:bidi="ar-SA"/>
        </w:rPr>
        <w:t>16.98万元</w:t>
      </w:r>
      <w:r>
        <w:rPr>
          <w:rFonts w:hint="default" w:ascii="Times New Roman" w:hAnsi="Times New Roman" w:eastAsia="仿宋_GB2312" w:cs="Times New Roman"/>
          <w:color w:val="auto"/>
          <w:kern w:val="2"/>
          <w:sz w:val="32"/>
          <w:szCs w:val="32"/>
          <w:lang w:val="zh-CN" w:eastAsia="zh-CN" w:bidi="ar-SA"/>
        </w:rPr>
        <w:t>、机关事业</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基本养老保险缴费</w:t>
      </w:r>
      <w:r>
        <w:rPr>
          <w:rFonts w:hint="eastAsia" w:ascii="Times New Roman" w:hAnsi="Times New Roman" w:eastAsia="仿宋_GB2312" w:cs="Times New Roman"/>
          <w:color w:val="auto"/>
          <w:kern w:val="2"/>
          <w:sz w:val="32"/>
          <w:szCs w:val="32"/>
          <w:lang w:val="en-US" w:eastAsia="zh-CN" w:bidi="ar-SA"/>
        </w:rPr>
        <w:t>5.53万元</w:t>
      </w:r>
      <w:r>
        <w:rPr>
          <w:rFonts w:hint="default" w:ascii="Times New Roman" w:hAnsi="Times New Roman" w:eastAsia="仿宋_GB2312" w:cs="Times New Roman"/>
          <w:color w:val="auto"/>
          <w:kern w:val="2"/>
          <w:sz w:val="32"/>
          <w:szCs w:val="32"/>
          <w:lang w:val="zh-CN" w:eastAsia="zh-CN" w:bidi="ar-SA"/>
        </w:rPr>
        <w:t>、职业年金缴费</w:t>
      </w:r>
      <w:r>
        <w:rPr>
          <w:rFonts w:hint="eastAsia" w:ascii="Times New Roman" w:hAnsi="Times New Roman" w:eastAsia="仿宋_GB2312" w:cs="Times New Roman"/>
          <w:color w:val="auto"/>
          <w:kern w:val="2"/>
          <w:sz w:val="32"/>
          <w:szCs w:val="32"/>
          <w:lang w:val="en-US" w:eastAsia="zh-CN" w:bidi="ar-SA"/>
        </w:rPr>
        <w:t>2.76万元</w:t>
      </w:r>
      <w:r>
        <w:rPr>
          <w:rFonts w:hint="default" w:ascii="Times New Roman" w:hAnsi="Times New Roman" w:eastAsia="仿宋_GB2312" w:cs="Times New Roman"/>
          <w:color w:val="auto"/>
          <w:kern w:val="2"/>
          <w:sz w:val="32"/>
          <w:szCs w:val="32"/>
          <w:lang w:val="zh-CN" w:eastAsia="zh-CN" w:bidi="ar-SA"/>
        </w:rPr>
        <w:t>、职工基本医疗保险缴费</w:t>
      </w:r>
      <w:r>
        <w:rPr>
          <w:rFonts w:hint="eastAsia" w:ascii="Times New Roman" w:hAnsi="Times New Roman" w:eastAsia="仿宋_GB2312" w:cs="Times New Roman"/>
          <w:color w:val="auto"/>
          <w:kern w:val="2"/>
          <w:sz w:val="32"/>
          <w:szCs w:val="32"/>
          <w:lang w:val="en-US" w:eastAsia="zh-CN" w:bidi="ar-SA"/>
        </w:rPr>
        <w:t>2.62万元</w:t>
      </w:r>
      <w:r>
        <w:rPr>
          <w:rFonts w:hint="default" w:ascii="Times New Roman" w:hAnsi="Times New Roman" w:eastAsia="仿宋_GB2312" w:cs="Times New Roman"/>
          <w:color w:val="auto"/>
          <w:kern w:val="2"/>
          <w:sz w:val="32"/>
          <w:szCs w:val="32"/>
          <w:lang w:val="zh-CN" w:eastAsia="zh-CN" w:bidi="ar-SA"/>
        </w:rPr>
        <w:t>、公务员医疗补助缴费</w:t>
      </w:r>
      <w:r>
        <w:rPr>
          <w:rFonts w:hint="eastAsia" w:ascii="Times New Roman" w:hAnsi="Times New Roman" w:eastAsia="仿宋_GB2312" w:cs="Times New Roman"/>
          <w:color w:val="auto"/>
          <w:kern w:val="2"/>
          <w:sz w:val="32"/>
          <w:szCs w:val="32"/>
          <w:lang w:val="en-US" w:eastAsia="zh-CN" w:bidi="ar-SA"/>
        </w:rPr>
        <w:t>2.70万元</w:t>
      </w:r>
      <w:r>
        <w:rPr>
          <w:rFonts w:hint="default" w:ascii="Times New Roman" w:hAnsi="Times New Roman" w:eastAsia="仿宋_GB2312" w:cs="Times New Roman"/>
          <w:color w:val="auto"/>
          <w:kern w:val="2"/>
          <w:sz w:val="32"/>
          <w:szCs w:val="32"/>
          <w:lang w:val="zh-CN" w:eastAsia="zh-CN" w:bidi="ar-SA"/>
        </w:rPr>
        <w:t>、住房公积金</w:t>
      </w:r>
      <w:r>
        <w:rPr>
          <w:rFonts w:hint="eastAsia" w:ascii="Times New Roman" w:hAnsi="Times New Roman" w:eastAsia="仿宋_GB2312" w:cs="Times New Roman"/>
          <w:color w:val="auto"/>
          <w:kern w:val="2"/>
          <w:sz w:val="32"/>
          <w:szCs w:val="32"/>
          <w:lang w:val="en-US" w:eastAsia="zh-CN" w:bidi="ar-SA"/>
        </w:rPr>
        <w:t>4.15万元</w:t>
      </w:r>
      <w:r>
        <w:rPr>
          <w:rFonts w:hint="default" w:ascii="Times New Roman" w:hAnsi="Times New Roman" w:eastAsia="仿宋_GB2312" w:cs="Times New Roman"/>
          <w:color w:val="auto"/>
          <w:kern w:val="2"/>
          <w:sz w:val="32"/>
          <w:szCs w:val="32"/>
          <w:lang w:val="zh-CN" w:eastAsia="zh-CN" w:bidi="ar-SA"/>
        </w:rPr>
        <w:t>、其他社会保障缴费</w:t>
      </w:r>
      <w:r>
        <w:rPr>
          <w:rFonts w:hint="eastAsia" w:ascii="Times New Roman" w:hAnsi="Times New Roman" w:eastAsia="仿宋_GB2312" w:cs="Times New Roman"/>
          <w:color w:val="auto"/>
          <w:kern w:val="2"/>
          <w:sz w:val="32"/>
          <w:szCs w:val="32"/>
          <w:lang w:val="en-US" w:eastAsia="zh-CN" w:bidi="ar-SA"/>
        </w:rPr>
        <w:t>0.37万元</w:t>
      </w:r>
      <w:r>
        <w:rPr>
          <w:rFonts w:hint="default" w:ascii="Times New Roman" w:hAnsi="Times New Roman" w:eastAsia="仿宋_GB2312" w:cs="Times New Roman"/>
          <w:color w:val="auto"/>
          <w:kern w:val="2"/>
          <w:sz w:val="32"/>
          <w:szCs w:val="32"/>
          <w:lang w:val="zh-CN" w:eastAsia="zh-CN" w:bidi="ar-SA"/>
        </w:rPr>
        <w:t>、 退休费</w:t>
      </w:r>
      <w:r>
        <w:rPr>
          <w:rFonts w:hint="eastAsia" w:ascii="Times New Roman" w:hAnsi="Times New Roman" w:eastAsia="仿宋_GB2312" w:cs="Times New Roman"/>
          <w:color w:val="auto"/>
          <w:kern w:val="2"/>
          <w:sz w:val="32"/>
          <w:szCs w:val="32"/>
          <w:lang w:val="en-US" w:eastAsia="zh-CN" w:bidi="ar-SA"/>
        </w:rPr>
        <w:t>23.97万元</w:t>
      </w:r>
      <w:r>
        <w:rPr>
          <w:rFonts w:hint="default" w:ascii="Times New Roman" w:hAnsi="Times New Roman" w:eastAsia="仿宋_GB2312" w:cs="Times New Roman"/>
          <w:color w:val="auto"/>
          <w:kern w:val="2"/>
          <w:sz w:val="32"/>
          <w:szCs w:val="32"/>
          <w:lang w:val="zh-CN" w:eastAsia="zh-CN" w:bidi="ar-SA"/>
        </w:rPr>
        <w:t>、 医疗费补助</w:t>
      </w:r>
      <w:r>
        <w:rPr>
          <w:rFonts w:hint="eastAsia" w:ascii="Times New Roman" w:hAnsi="Times New Roman" w:eastAsia="仿宋_GB2312" w:cs="Times New Roman"/>
          <w:color w:val="auto"/>
          <w:kern w:val="2"/>
          <w:sz w:val="32"/>
          <w:szCs w:val="32"/>
          <w:lang w:val="en-US" w:eastAsia="zh-CN" w:bidi="ar-SA"/>
        </w:rPr>
        <w:t>13.94万元</w:t>
      </w:r>
      <w:r>
        <w:rPr>
          <w:rFonts w:hint="default" w:ascii="Times New Roman" w:hAnsi="Times New Roman" w:eastAsia="仿宋_GB2312" w:cs="Times New Roman"/>
          <w:color w:val="auto"/>
          <w:kern w:val="2"/>
          <w:sz w:val="32"/>
          <w:szCs w:val="32"/>
          <w:lang w:val="zh-CN" w:eastAsia="zh-CN" w:bidi="ar-SA"/>
        </w:rPr>
        <w:t>、奖励金</w:t>
      </w:r>
      <w:r>
        <w:rPr>
          <w:rFonts w:hint="eastAsia" w:ascii="Times New Roman" w:hAnsi="Times New Roman" w:eastAsia="仿宋_GB2312" w:cs="Times New Roman"/>
          <w:color w:val="auto"/>
          <w:kern w:val="2"/>
          <w:sz w:val="32"/>
          <w:szCs w:val="32"/>
          <w:lang w:val="en-US" w:eastAsia="zh-CN" w:bidi="ar-SA"/>
        </w:rPr>
        <w:t>0.02万元</w:t>
      </w:r>
      <w:r>
        <w:rPr>
          <w:rFonts w:hint="default" w:ascii="Times New Roman" w:hAnsi="Times New Roman" w:eastAsia="仿宋_GB2312" w:cs="Times New Roman"/>
          <w:color w:val="auto"/>
          <w:kern w:val="2"/>
          <w:sz w:val="32"/>
          <w:szCs w:val="32"/>
          <w:lang w:val="zh-CN" w:eastAsia="zh-CN" w:bidi="ar-SA"/>
        </w:rPr>
        <w:t>、其他对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r>
        <w:rPr>
          <w:rFonts w:hint="eastAsia" w:ascii="Times New Roman" w:hAnsi="Times New Roman" w:eastAsia="仿宋_GB2312" w:cs="Times New Roman"/>
          <w:color w:val="auto"/>
          <w:kern w:val="2"/>
          <w:sz w:val="32"/>
          <w:szCs w:val="32"/>
          <w:lang w:val="en-US" w:eastAsia="zh-CN" w:bidi="ar-SA"/>
        </w:rPr>
        <w:t>0.44万元</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公用经费0万元，主要</w:t>
      </w:r>
      <w:r>
        <w:rPr>
          <w:rFonts w:hint="eastAsia" w:ascii="仿宋_GB2312" w:hAnsi="Times New Roman" w:eastAsia="仿宋_GB2312" w:cs="DengXian-Regular"/>
          <w:sz w:val="32"/>
          <w:szCs w:val="32"/>
          <w:lang w:val="en-US" w:eastAsia="zh-CN"/>
        </w:rPr>
        <w:t>本单位无公用经费支出。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年度“三公”经费财政拨款支出预算为0万元，支出决算为 0万元，较预算增加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万元，主要是</w:t>
      </w:r>
      <w:r>
        <w:rPr>
          <w:rFonts w:hint="eastAsia" w:ascii="仿宋_GB2312" w:hAnsi="Times New Roman" w:eastAsia="仿宋_GB2312" w:cs="DengXian-Regular"/>
          <w:sz w:val="32"/>
          <w:szCs w:val="32"/>
        </w:rPr>
        <w:t>本单位无“三公”</w:t>
      </w:r>
      <w:r>
        <w:rPr>
          <w:rFonts w:hint="eastAsia" w:ascii="仿宋_GB2312" w:hAnsi="Times New Roman" w:eastAsia="仿宋_GB2312" w:cs="DengXian-Regular"/>
          <w:sz w:val="32"/>
          <w:szCs w:val="32"/>
          <w:lang w:val="en-US" w:eastAsia="zh-CN"/>
        </w:rPr>
        <w:t>经费支出</w:t>
      </w:r>
      <w:r>
        <w:rPr>
          <w:rFonts w:hint="default" w:ascii="Times New Roman" w:hAnsi="Times New Roman" w:eastAsia="仿宋_GB2312" w:cs="Times New Roman"/>
          <w:color w:val="auto"/>
          <w:kern w:val="2"/>
          <w:sz w:val="32"/>
          <w:szCs w:val="32"/>
          <w:lang w:val="zh-CN" w:eastAsia="zh-CN" w:bidi="ar-SA"/>
        </w:rPr>
        <w:t>；较2022年度决算增加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万元，，主要是</w:t>
      </w:r>
      <w:r>
        <w:rPr>
          <w:rFonts w:hint="eastAsia" w:ascii="仿宋_GB2312" w:hAnsi="Times New Roman" w:eastAsia="仿宋_GB2312" w:cs="DengXian-Regular"/>
          <w:sz w:val="32"/>
          <w:szCs w:val="32"/>
        </w:rPr>
        <w:t>本单位无“三公”</w:t>
      </w:r>
      <w:r>
        <w:rPr>
          <w:rFonts w:hint="eastAsia" w:ascii="仿宋_GB2312" w:hAnsi="Times New Roman" w:eastAsia="仿宋_GB2312" w:cs="DengXian-Regular"/>
          <w:sz w:val="32"/>
          <w:szCs w:val="32"/>
          <w:lang w:val="en-US" w:eastAsia="zh-CN"/>
        </w:rPr>
        <w:t>经费支出</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eastAsia" w:ascii="仿宋_GB2312" w:hAnsi="Times New Roman" w:eastAsia="仿宋_GB2312" w:cs="DengXian-Regular"/>
          <w:color w:val="000000"/>
          <w:sz w:val="32"/>
          <w:szCs w:val="32"/>
          <w:highlight w:val="none"/>
        </w:rPr>
        <w:t>未发生</w:t>
      </w:r>
      <w:r>
        <w:rPr>
          <w:rFonts w:hint="eastAsia" w:ascii="仿宋_GB2312" w:hAnsi="Times New Roman" w:eastAsia="仿宋_GB2312" w:cs="DengXian-Regular"/>
          <w:color w:val="000000"/>
          <w:sz w:val="32"/>
          <w:szCs w:val="32"/>
          <w:highlight w:val="none"/>
          <w:lang w:val="en-US" w:eastAsia="zh-CN"/>
        </w:rPr>
        <w:t>因公出国（境）</w:t>
      </w:r>
      <w:r>
        <w:rPr>
          <w:rFonts w:hint="eastAsia" w:ascii="仿宋_GB2312" w:hAnsi="Times New Roman" w:eastAsia="仿宋_GB2312" w:cs="DengXian-Regular"/>
          <w:color w:val="000000"/>
          <w:sz w:val="32"/>
          <w:szCs w:val="32"/>
          <w:highlight w:val="none"/>
        </w:rPr>
        <w:t>经费支出</w:t>
      </w:r>
      <w:r>
        <w:rPr>
          <w:rFonts w:hint="eastAsia" w:ascii="仿宋_GB2312" w:hAnsi="Times New Roman" w:eastAsia="仿宋_GB2312" w:cs="DengXian-Regular"/>
          <w:color w:val="000000"/>
          <w:sz w:val="32"/>
          <w:szCs w:val="32"/>
          <w:highlight w:val="none"/>
          <w:lang w:val="en-US" w:eastAsia="zh-CN"/>
        </w:rPr>
        <w:t>，</w:t>
      </w:r>
      <w:r>
        <w:rPr>
          <w:rFonts w:hint="eastAsia" w:ascii="仿宋_GB2312" w:hAnsi="Times New Roman" w:eastAsia="仿宋_GB2312" w:cs="DengXian-Regular"/>
          <w:sz w:val="32"/>
          <w:szCs w:val="32"/>
        </w:rPr>
        <w:t>本单位202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年度无因公出国（境）费支出预算。</w:t>
      </w:r>
    </w:p>
    <w:p>
      <w:pPr>
        <w:adjustRightInd w:val="0"/>
        <w:snapToGrid w:val="0"/>
        <w:spacing w:line="580" w:lineRule="exact"/>
        <w:ind w:firstLine="643" w:firstLineChars="200"/>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eastAsia" w:ascii="仿宋_GB2312" w:hAnsi="Times New Roman" w:eastAsia="仿宋_GB2312" w:cs="DengXian-Regular"/>
          <w:color w:val="000000"/>
          <w:sz w:val="32"/>
          <w:szCs w:val="32"/>
          <w:highlight w:val="none"/>
        </w:rPr>
        <w:t>未发生公务用车购置经费支出</w:t>
      </w:r>
      <w:r>
        <w:rPr>
          <w:rFonts w:hint="eastAsia" w:ascii="仿宋_GB2312" w:hAnsi="Times New Roman" w:eastAsia="仿宋_GB2312" w:cs="DengXian-Regular"/>
          <w:color w:val="000000"/>
          <w:sz w:val="32"/>
          <w:szCs w:val="32"/>
          <w:highlight w:val="none"/>
          <w:lang w:val="en-US" w:eastAsia="zh-CN"/>
        </w:rPr>
        <w:t>，</w:t>
      </w:r>
      <w:r>
        <w:rPr>
          <w:rFonts w:hint="eastAsia" w:ascii="仿宋_GB2312" w:hAnsi="Times New Roman" w:eastAsia="仿宋_GB2312" w:cs="DengXian-Regular"/>
          <w:sz w:val="32"/>
          <w:szCs w:val="32"/>
        </w:rPr>
        <w:t>本单位202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年度无公务用车购置及运行维护费预算及公务用车购置预算。</w:t>
      </w: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bookmarkStart w:id="0" w:name="_GoBack"/>
      <w:bookmarkEnd w:id="0"/>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w:t>
      </w:r>
      <w:r>
        <w:rPr>
          <w:rFonts w:hint="eastAsia" w:ascii="Times New Roman" w:hAnsi="Times New Roman" w:eastAsia="仿宋_GB2312" w:cs="Times New Roman"/>
          <w:color w:val="auto"/>
          <w:kern w:val="2"/>
          <w:sz w:val="32"/>
          <w:szCs w:val="32"/>
          <w:lang w:val="en-US" w:eastAsia="zh-CN" w:bidi="ar-SA"/>
        </w:rPr>
        <w:t>财政开支</w:t>
      </w:r>
      <w:r>
        <w:rPr>
          <w:rFonts w:hint="default" w:ascii="Times New Roman" w:hAnsi="Times New Roman" w:eastAsia="仿宋_GB2312" w:cs="Times New Roman"/>
          <w:color w:val="auto"/>
          <w:kern w:val="2"/>
          <w:sz w:val="32"/>
          <w:szCs w:val="32"/>
          <w:lang w:val="zh-CN" w:eastAsia="zh-CN" w:bidi="ar-SA"/>
        </w:rPr>
        <w:t>公务用车保有量0辆，发生运行维护费支出0万元。公车运行维护费支出较预算增加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本单位无公务用车运行维护费支出</w:t>
      </w:r>
      <w:r>
        <w:rPr>
          <w:rFonts w:hint="eastAsia" w:ascii="仿宋_GB2312" w:hAnsi="Times New Roman" w:eastAsia="仿宋_GB2312" w:cs="DengXian-Regular"/>
          <w:sz w:val="32"/>
          <w:szCs w:val="32"/>
        </w:rPr>
        <w:t>；较上年增加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本单位无公务用车运行维护费支出</w:t>
      </w:r>
      <w:r>
        <w:rPr>
          <w:rFonts w:hint="eastAsia" w:ascii="仿宋_GB2312" w:hAnsi="Times New Roman" w:eastAsia="仿宋_GB2312" w:cs="DengXian-Regular"/>
          <w:sz w:val="32"/>
          <w:szCs w:val="32"/>
        </w:rPr>
        <w:t>。</w:t>
      </w: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万元，主要是</w:t>
      </w:r>
      <w:r>
        <w:rPr>
          <w:rFonts w:hint="eastAsia" w:ascii="仿宋_GB2312" w:hAnsi="Times New Roman" w:eastAsia="仿宋_GB2312" w:cs="DengXian-Regular"/>
          <w:sz w:val="32"/>
          <w:szCs w:val="32"/>
        </w:rPr>
        <w:t>本单位无公务接待费支出预算</w:t>
      </w:r>
      <w:r>
        <w:rPr>
          <w:rFonts w:hint="default" w:ascii="Times New Roman" w:hAnsi="Times New Roman" w:eastAsia="仿宋_GB2312" w:cs="Times New Roman"/>
          <w:color w:val="auto"/>
          <w:kern w:val="2"/>
          <w:sz w:val="32"/>
          <w:szCs w:val="32"/>
          <w:lang w:val="zh-CN" w:eastAsia="zh-CN" w:bidi="ar-SA"/>
        </w:rPr>
        <w:t>；较上年度增加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万元，主要是</w:t>
      </w:r>
      <w:r>
        <w:rPr>
          <w:rFonts w:hint="eastAsia" w:ascii="仿宋_GB2312" w:hAnsi="Times New Roman" w:eastAsia="仿宋_GB2312" w:cs="DengXian-Regular"/>
          <w:sz w:val="32"/>
          <w:szCs w:val="32"/>
        </w:rPr>
        <w:t>本单位无公务接待费支出预算</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adjustRightInd w:val="0"/>
        <w:snapToGrid w:val="0"/>
        <w:spacing w:line="580" w:lineRule="exact"/>
        <w:ind w:firstLine="660" w:firstLineChars="200"/>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eastAsia" w:ascii="仿宋_GB2312" w:hAnsi="Times New Roman" w:eastAsia="仿宋_GB2312" w:cs="DengXian-Regular"/>
          <w:sz w:val="32"/>
          <w:szCs w:val="32"/>
        </w:rPr>
        <w:t>本单位</w:t>
      </w:r>
      <w:r>
        <w:rPr>
          <w:rFonts w:hint="eastAsia" w:ascii="仿宋_GB2312" w:hAnsi="Times New Roman" w:eastAsia="仿宋_GB2312" w:cs="DengXian-Regular"/>
          <w:sz w:val="32"/>
          <w:szCs w:val="32"/>
          <w:lang w:val="en-US" w:eastAsia="zh-CN"/>
        </w:rPr>
        <w:t>是事业单位无</w:t>
      </w:r>
      <w:r>
        <w:rPr>
          <w:rFonts w:hint="eastAsia" w:ascii="仿宋_GB2312" w:hAnsi="Times New Roman" w:eastAsia="仿宋_GB2312" w:cs="DengXian-Regular"/>
          <w:sz w:val="32"/>
          <w:szCs w:val="32"/>
        </w:rPr>
        <w:t>机关运行经费支出。</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snapToGrid w:val="0"/>
        <w:spacing w:line="580" w:lineRule="exact"/>
        <w:ind w:firstLine="380" w:firstLineChars="200"/>
        <w:jc w:val="left"/>
        <w:rPr>
          <w:rFonts w:hint="eastAsia" w:ascii="Times New Roman" w:hAnsi="Times New Roman" w:eastAsia="仿宋_GB2312" w:cs="Times New Roman"/>
          <w:sz w:val="32"/>
          <w:szCs w:val="32"/>
          <w:highlight w:val="yellow"/>
          <w:lang w:eastAsia="zh-CN"/>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eastAsia" w:ascii="仿宋_GB2312" w:hAnsi="Times New Roman" w:eastAsia="仿宋_GB2312" w:cs="DengXian-Regular"/>
          <w:sz w:val="32"/>
          <w:szCs w:val="32"/>
        </w:rPr>
        <w:t>本单位202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年度无政府采购支出</w:t>
      </w:r>
      <w:r>
        <w:rPr>
          <w:rFonts w:hint="eastAsia" w:ascii="仿宋_GB2312" w:hAnsi="Times New Roman" w:eastAsia="仿宋_GB2312" w:cs="DengXian-Regular"/>
          <w:sz w:val="32"/>
          <w:szCs w:val="32"/>
          <w:lang w:eastAsia="zh-CN"/>
        </w:rPr>
        <w:t>。</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adjustRightInd w:val="0"/>
        <w:snapToGrid w:val="0"/>
        <w:spacing w:line="580" w:lineRule="exact"/>
        <w:ind w:firstLine="660"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eastAsia" w:ascii="仿宋_GB2312" w:hAnsi="Times New Roman" w:eastAsia="仿宋_GB2312" w:cs="DengXian-Regular"/>
          <w:sz w:val="32"/>
          <w:szCs w:val="32"/>
        </w:rPr>
        <w:t>本单位</w:t>
      </w:r>
      <w:r>
        <w:rPr>
          <w:rFonts w:hint="eastAsia" w:ascii="仿宋_GB2312" w:hAnsi="Times New Roman" w:eastAsia="仿宋_GB2312" w:cs="DengXian-Regular"/>
          <w:sz w:val="32"/>
          <w:szCs w:val="32"/>
          <w:lang w:val="en-US" w:eastAsia="zh-CN"/>
        </w:rPr>
        <w:t>为临时组建单位，</w:t>
      </w:r>
      <w:r>
        <w:rPr>
          <w:rFonts w:hint="eastAsia" w:ascii="仿宋_GB2312" w:hAnsi="Times New Roman" w:eastAsia="仿宋_GB2312" w:cs="DengXian-Regular"/>
          <w:sz w:val="32"/>
          <w:szCs w:val="32"/>
        </w:rPr>
        <w:t>截至202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年12月31日，</w:t>
      </w:r>
      <w:r>
        <w:rPr>
          <w:rFonts w:hint="eastAsia" w:ascii="仿宋_GB2312" w:hAnsi="Times New Roman" w:eastAsia="仿宋_GB2312" w:cs="DengXian-Regular"/>
          <w:sz w:val="32"/>
          <w:szCs w:val="32"/>
          <w:lang w:val="en-US" w:eastAsia="zh-CN"/>
        </w:rPr>
        <w:t>无国有资产</w:t>
      </w:r>
      <w:r>
        <w:rPr>
          <w:rFonts w:hint="eastAsia" w:ascii="仿宋_GB2312" w:hAnsi="Times New Roman" w:eastAsia="仿宋_GB2312" w:cs="DengXian-Regular"/>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个政府性基金预算项目支出开展绩效自评，共涉及资金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个国有资本经营预算项目支出开展绩效自评，共涉及资金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万元，占国有资本经营预算项目支出总额的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pPr>
        <w:adjustRightInd w:val="0"/>
        <w:snapToGrid w:val="0"/>
        <w:spacing w:line="580" w:lineRule="exact"/>
        <w:ind w:firstLine="660" w:firstLineChars="200"/>
        <w:rPr>
          <w:rFonts w:hint="default" w:ascii="Times New Roman" w:hAnsi="Times New Roman" w:eastAsia="仿宋_GB2312" w:cs="Times New Roman"/>
          <w:i w:val="0"/>
          <w:iCs w:val="0"/>
          <w:caps w:val="0"/>
          <w:color w:val="333333"/>
          <w:spacing w:val="0"/>
          <w:sz w:val="33"/>
          <w:szCs w:val="33"/>
          <w:highlight w:val="yellow"/>
          <w:shd w:val="clear" w:fill="FFFFFF"/>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lang w:val="en-US" w:eastAsia="zh-CN"/>
        </w:rPr>
        <w:t>无预算项目，</w:t>
      </w:r>
      <w:r>
        <w:rPr>
          <w:rFonts w:hint="eastAsia" w:ascii="仿宋_GB2312" w:hAnsi="仿宋_GB2312" w:eastAsia="仿宋_GB2312" w:cs="仿宋_GB2312"/>
          <w:sz w:val="32"/>
          <w:szCs w:val="32"/>
        </w:rPr>
        <w:t>在今年单位决算公开中</w:t>
      </w:r>
      <w:r>
        <w:rPr>
          <w:rFonts w:hint="eastAsia" w:ascii="仿宋_GB2312" w:hAnsi="仿宋_GB2312" w:eastAsia="仿宋_GB2312" w:cs="仿宋_GB2312"/>
          <w:sz w:val="32"/>
          <w:szCs w:val="32"/>
          <w:lang w:val="en-US" w:eastAsia="zh-CN"/>
        </w:rPr>
        <w:t>未对预算项目做出</w:t>
      </w:r>
      <w:r>
        <w:rPr>
          <w:rFonts w:hint="eastAsia" w:ascii="仿宋_GB2312" w:hAnsi="仿宋_GB2312" w:eastAsia="仿宋_GB2312" w:cs="仿宋_GB2312"/>
          <w:sz w:val="32"/>
          <w:szCs w:val="32"/>
        </w:rPr>
        <w:t>绩效自评结果。</w:t>
      </w:r>
    </w:p>
    <w:p>
      <w:pPr>
        <w:numPr>
          <w:ilvl w:val="0"/>
          <w:numId w:val="3"/>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w:t>
      </w:r>
    </w:p>
    <w:p>
      <w:pPr>
        <w:adjustRightInd w:val="0"/>
        <w:snapToGrid w:val="0"/>
        <w:spacing w:line="580" w:lineRule="exact"/>
        <w:ind w:firstLine="640" w:firstLineChars="200"/>
        <w:rPr>
          <w:rFonts w:hint="default" w:ascii="Times New Roman" w:hAnsi="Times New Roman" w:eastAsia="仿宋_GB2312" w:cs="Times New Roman"/>
          <w:b/>
          <w:bCs/>
          <w:sz w:val="32"/>
          <w:szCs w:val="32"/>
        </w:rPr>
      </w:pP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lang w:val="en-US" w:eastAsia="zh-CN"/>
        </w:rPr>
        <w:t>无预算项目，</w:t>
      </w:r>
      <w:r>
        <w:rPr>
          <w:rFonts w:hint="eastAsia" w:ascii="仿宋_GB2312" w:hAnsi="仿宋_GB2312" w:eastAsia="仿宋_GB2312" w:cs="仿宋_GB2312"/>
          <w:sz w:val="32"/>
          <w:szCs w:val="32"/>
        </w:rPr>
        <w:t>在今年单位决算公开中</w:t>
      </w:r>
      <w:r>
        <w:rPr>
          <w:rFonts w:hint="eastAsia" w:ascii="仿宋_GB2312" w:hAnsi="仿宋_GB2312" w:eastAsia="仿宋_GB2312" w:cs="仿宋_GB2312"/>
          <w:sz w:val="32"/>
          <w:szCs w:val="32"/>
          <w:lang w:val="en-US" w:eastAsia="zh-CN"/>
        </w:rPr>
        <w:t>未对预算项目做出</w:t>
      </w:r>
      <w:r>
        <w:rPr>
          <w:rFonts w:hint="eastAsia" w:ascii="仿宋_GB2312" w:hAnsi="仿宋_GB2312" w:eastAsia="仿宋_GB2312" w:cs="仿宋_GB2312"/>
          <w:sz w:val="32"/>
          <w:szCs w:val="32"/>
        </w:rPr>
        <w:t>绩效自评结果。</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default" w:ascii="Times New Roman" w:hAnsi="Times New Roman" w:eastAsia="仿宋_GB2312" w:cs="Times New Roman"/>
          <w:sz w:val="32"/>
          <w:szCs w:val="32"/>
        </w:rPr>
        <w:t>1. 本</w:t>
      </w:r>
      <w:r>
        <w:rPr>
          <w:rFonts w:hint="eastAsia" w:ascii="Times New Roman" w:hAnsi="Times New Roman" w:eastAsia="仿宋_GB2312" w:cs="Times New Roman"/>
          <w:sz w:val="32"/>
          <w:szCs w:val="32"/>
          <w:lang w:eastAsia="zh-CN"/>
        </w:rPr>
        <w:t>单位</w:t>
      </w:r>
      <w:r>
        <w:rPr>
          <w:rFonts w:hint="default" w:ascii="Times New Roman" w:hAnsi="Times New Roman" w:eastAsia="仿宋_GB2312" w:cs="Times New Roman"/>
          <w:sz w:val="32"/>
          <w:szCs w:val="32"/>
        </w:rPr>
        <w:t>2023年度</w:t>
      </w:r>
      <w:r>
        <w:rPr>
          <w:rFonts w:hint="eastAsia" w:ascii="仿宋_GB2312" w:hAnsi="Times New Roman" w:eastAsia="仿宋_GB2312" w:cs="DengXian-Regular"/>
          <w:sz w:val="32"/>
          <w:szCs w:val="32"/>
        </w:rPr>
        <w:t>政府性基金预算财政拨款无收支及结转结余情况，故政府性基金预算财政拨款收入支出决算表以空表列示。</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default" w:ascii="Times New Roman" w:hAnsi="Times New Roman" w:eastAsia="仿宋_GB2312" w:cs="Times New Roman"/>
          <w:sz w:val="32"/>
          <w:szCs w:val="32"/>
        </w:rPr>
        <w:t xml:space="preserve">2. </w:t>
      </w: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年度国有资本经营预算财政拨款无收支及结转结余情况，故国有资本经营预算财政拨款支出决算表以空表列示。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年度财政拨款“三公”经费</w:t>
      </w:r>
      <w:r>
        <w:rPr>
          <w:rFonts w:hint="eastAsia" w:ascii="仿宋_GB2312" w:hAnsi="Times New Roman" w:eastAsia="仿宋_GB2312" w:cs="DengXian-Regular"/>
          <w:sz w:val="32"/>
          <w:szCs w:val="32"/>
          <w:lang w:val="en-US" w:eastAsia="zh-CN"/>
        </w:rPr>
        <w:t>无预算及决算</w:t>
      </w:r>
      <w:r>
        <w:rPr>
          <w:rFonts w:hint="eastAsia" w:ascii="仿宋_GB2312" w:hAnsi="Times New Roman" w:eastAsia="仿宋_GB2312" w:cs="DengXian-Regular"/>
          <w:sz w:val="32"/>
          <w:szCs w:val="32"/>
        </w:rPr>
        <w:t>情况，故财政拨款“三公”经费支出决算表以空表列示。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8A579BC-0B0F-419B-9808-3921C9D0C11C}"/>
  </w:font>
  <w:font w:name="黑体">
    <w:panose1 w:val="02010609060101010101"/>
    <w:charset w:val="86"/>
    <w:family w:val="auto"/>
    <w:pitch w:val="default"/>
    <w:sig w:usb0="800002BF" w:usb1="38CF7CFA" w:usb2="00000016" w:usb3="00000000" w:csb0="00040001" w:csb1="00000000"/>
    <w:embedRegular r:id="rId2" w:fontKey="{3F0A2C75-CB17-4DF2-B4FB-6E95A0E29DA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05C743C-2343-4BF8-91BA-2402EFE946A4}"/>
  </w:font>
  <w:font w:name="仿宋">
    <w:panose1 w:val="02010609060101010101"/>
    <w:charset w:val="86"/>
    <w:family w:val="modern"/>
    <w:pitch w:val="default"/>
    <w:sig w:usb0="800002BF" w:usb1="38CF7CFA" w:usb2="00000016" w:usb3="00000000" w:csb0="00040001" w:csb1="00000000"/>
    <w:embedRegular r:id="rId4" w:fontKey="{D9775B01-064E-4520-BB22-CAB141F0A454}"/>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FD58A6A8-442D-4EC6-A193-DEB39185D38B}"/>
  </w:font>
  <w:font w:name="思源黑体 CN Heavy">
    <w:altName w:val="黑体"/>
    <w:panose1 w:val="00000000000000000000"/>
    <w:charset w:val="86"/>
    <w:family w:val="swiss"/>
    <w:pitch w:val="default"/>
    <w:sig w:usb0="00000000" w:usb1="00000000" w:usb2="00000016" w:usb3="00000000" w:csb0="00060107" w:csb1="00000000"/>
    <w:embedRegular r:id="rId6" w:fontKey="{D27873E6-DCD0-489A-9496-ADFAEB0ABFAF}"/>
  </w:font>
  <w:font w:name="楷体_GB2312">
    <w:altName w:val="楷体"/>
    <w:panose1 w:val="02010609030101010101"/>
    <w:charset w:val="86"/>
    <w:family w:val="auto"/>
    <w:pitch w:val="default"/>
    <w:sig w:usb0="00000000" w:usb1="00000000" w:usb2="00000000" w:usb3="00000000" w:csb0="00040000" w:csb1="00000000"/>
    <w:embedRegular r:id="rId7" w:fontKey="{801EA760-3AE8-42B6-AB77-6444331973F7}"/>
  </w:font>
  <w:font w:name="仿宋_GB2312">
    <w:panose1 w:val="02010609030101010101"/>
    <w:charset w:val="86"/>
    <w:family w:val="auto"/>
    <w:pitch w:val="default"/>
    <w:sig w:usb0="00000001" w:usb1="080E0000" w:usb2="00000000" w:usb3="00000000" w:csb0="00040000" w:csb1="00000000"/>
    <w:embedRegular r:id="rId8" w:fontKey="{36FCE979-CEC3-4662-8AA1-C193C68B415B}"/>
  </w:font>
  <w:font w:name="ArialUnicodeMS">
    <w:altName w:val="Malgun Gothic"/>
    <w:panose1 w:val="00000000000000000000"/>
    <w:charset w:val="81"/>
    <w:family w:val="auto"/>
    <w:pitch w:val="default"/>
    <w:sig w:usb0="00000000" w:usb1="00000000" w:usb2="00000010" w:usb3="00000000" w:csb0="00080001" w:csb1="00000000"/>
    <w:embedRegular r:id="rId9" w:fontKey="{1C35F8B3-FF36-411A-9A1A-BBB850E06665}"/>
  </w:font>
  <w:font w:name="方正仿宋_GB2312">
    <w:altName w:val="仿宋"/>
    <w:panose1 w:val="02000000000000000000"/>
    <w:charset w:val="86"/>
    <w:family w:val="auto"/>
    <w:pitch w:val="default"/>
    <w:sig w:usb0="00000000" w:usb1="00000000" w:usb2="00000000" w:usb3="00000000" w:csb0="00000000" w:csb1="00000000"/>
    <w:embedRegular r:id="rId10" w:fontKey="{B7632DE1-5C6E-408D-B63D-CD9881D4BF6A}"/>
  </w:font>
  <w:font w:name="DengXian-Regular">
    <w:altName w:val="宋体"/>
    <w:panose1 w:val="00000000000000000000"/>
    <w:charset w:val="86"/>
    <w:family w:val="auto"/>
    <w:pitch w:val="default"/>
    <w:sig w:usb0="00000000" w:usb1="00000000" w:usb2="00000010" w:usb3="00000000" w:csb0="00040001" w:csb1="00000000"/>
    <w:embedRegular r:id="rId11" w:fontKey="{F8D33AB2-A094-471C-B9A2-D4387CB8E9F8}"/>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04A0B8"/>
    <w:multiLevelType w:val="singleLevel"/>
    <w:tmpl w:val="8D04A0B8"/>
    <w:lvl w:ilvl="0" w:tentative="0">
      <w:start w:val="3"/>
      <w:numFmt w:val="chineseCounting"/>
      <w:suff w:val="nothing"/>
      <w:lvlText w:val="（%1）"/>
      <w:lvlJc w:val="left"/>
      <w:rPr>
        <w:rFonts w:hint="eastAsia"/>
      </w:rPr>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csImhkaWQiOiIzMWE1MzMwMDNjMmJhYTE1ZmE0MmVkZDFmNDA1ZThhMiIsInVzZXJDb3VudCI6N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7B12D4"/>
    <w:rsid w:val="03804D63"/>
    <w:rsid w:val="03FB73B0"/>
    <w:rsid w:val="049C1B9D"/>
    <w:rsid w:val="04BD008C"/>
    <w:rsid w:val="04C332F3"/>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DF55AD"/>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4A5516"/>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1112BB"/>
    <w:rsid w:val="136A5C00"/>
    <w:rsid w:val="13B97B08"/>
    <w:rsid w:val="13C527AC"/>
    <w:rsid w:val="14711797"/>
    <w:rsid w:val="147B6F17"/>
    <w:rsid w:val="14D42061"/>
    <w:rsid w:val="15081C8B"/>
    <w:rsid w:val="15090D5C"/>
    <w:rsid w:val="15232E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EF82972"/>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617A09"/>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72D14"/>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C562B"/>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13F9D"/>
    <w:rsid w:val="35277FF8"/>
    <w:rsid w:val="35763460"/>
    <w:rsid w:val="35776F72"/>
    <w:rsid w:val="35997371"/>
    <w:rsid w:val="360134DF"/>
    <w:rsid w:val="360B1E2F"/>
    <w:rsid w:val="360D500F"/>
    <w:rsid w:val="36330424"/>
    <w:rsid w:val="36FE3ABA"/>
    <w:rsid w:val="37072BDE"/>
    <w:rsid w:val="37455334"/>
    <w:rsid w:val="37731921"/>
    <w:rsid w:val="37C61ABF"/>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8A6C8F"/>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3236C"/>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2F4348"/>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14367"/>
    <w:rsid w:val="4DA55D85"/>
    <w:rsid w:val="4DBB20DB"/>
    <w:rsid w:val="4DDC3F22"/>
    <w:rsid w:val="4DDE08F1"/>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3933DD"/>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1B2125"/>
    <w:rsid w:val="5C841FED"/>
    <w:rsid w:val="5C8E5C5A"/>
    <w:rsid w:val="5C965E61"/>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4C6867"/>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0F211E"/>
    <w:rsid w:val="6A292754"/>
    <w:rsid w:val="6A5E3B28"/>
    <w:rsid w:val="6A6B1EBE"/>
    <w:rsid w:val="6A8F43F7"/>
    <w:rsid w:val="6AD625F3"/>
    <w:rsid w:val="6B7218BE"/>
    <w:rsid w:val="6B750BA9"/>
    <w:rsid w:val="6BB93285"/>
    <w:rsid w:val="6C0C698C"/>
    <w:rsid w:val="6C222401"/>
    <w:rsid w:val="6C56267F"/>
    <w:rsid w:val="6C826EF9"/>
    <w:rsid w:val="6CAE4C93"/>
    <w:rsid w:val="6CB14F16"/>
    <w:rsid w:val="6CD40F99"/>
    <w:rsid w:val="6CEC2069"/>
    <w:rsid w:val="6D0B1869"/>
    <w:rsid w:val="6D0B7D40"/>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77A12"/>
    <w:rsid w:val="74283FA2"/>
    <w:rsid w:val="742C135B"/>
    <w:rsid w:val="74463733"/>
    <w:rsid w:val="748A2F40"/>
    <w:rsid w:val="74F85778"/>
    <w:rsid w:val="75272439"/>
    <w:rsid w:val="758F1E9B"/>
    <w:rsid w:val="75CE266B"/>
    <w:rsid w:val="76120141"/>
    <w:rsid w:val="768216BE"/>
    <w:rsid w:val="76A65CFF"/>
    <w:rsid w:val="76C23B43"/>
    <w:rsid w:val="76FD6F97"/>
    <w:rsid w:val="770218E8"/>
    <w:rsid w:val="779469CE"/>
    <w:rsid w:val="77C875A5"/>
    <w:rsid w:val="78A27DF6"/>
    <w:rsid w:val="79285B3A"/>
    <w:rsid w:val="79625CA9"/>
    <w:rsid w:val="79A91196"/>
    <w:rsid w:val="7A0B32D3"/>
    <w:rsid w:val="7AC13CD3"/>
    <w:rsid w:val="7AE10264"/>
    <w:rsid w:val="7AE4248E"/>
    <w:rsid w:val="7B485719"/>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1.xml"/><Relationship Id="rId15" Type="http://schemas.openxmlformats.org/officeDocument/2006/relationships/image" Target="media/image1.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woshi\Desktop\&#23548;&#20986;&#25968;&#25454;.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2022-2023</a:t>
            </a:r>
            <a:r>
              <a:rPr altLang="en-US"/>
              <a:t>年度收支总计对比</a:t>
            </a:r>
            <a:endParaRPr lang="en-US" altLang="zh-CN"/>
          </a:p>
        </c:rich>
      </c:tx>
      <c:layout>
        <c:manualLayout>
          <c:xMode val="edge"/>
          <c:yMode val="edge"/>
          <c:x val="0.260277777777778"/>
          <c:y val="0.0451388888888889"/>
        </c:manualLayout>
      </c:layout>
      <c:overlay val="0"/>
      <c:spPr>
        <a:noFill/>
        <a:ln>
          <a:noFill/>
        </a:ln>
        <a:effectLst/>
      </c:spPr>
    </c:title>
    <c:autoTitleDeleted val="0"/>
    <c:plotArea>
      <c:layout/>
      <c:barChart>
        <c:barDir val="col"/>
        <c:grouping val="clustered"/>
        <c:varyColors val="0"/>
        <c:ser>
          <c:idx val="0"/>
          <c:order val="0"/>
          <c:tx>
            <c:strRef>
              <c:f>[导出数据.csv]Sheet2!$A$2</c:f>
              <c:strCache>
                <c:ptCount val="1"/>
                <c:pt idx="0">
                  <c:v>2022</c:v>
                </c:pt>
              </c:strCache>
            </c:strRef>
          </c:tx>
          <c:spPr>
            <a:solidFill>
              <a:schemeClr val="accent1"/>
            </a:solidFill>
            <a:ln>
              <a:noFill/>
            </a:ln>
            <a:effectLst/>
          </c:spPr>
          <c:invertIfNegative val="0"/>
          <c:dLbls>
            <c:delete val="1"/>
          </c:dLbls>
          <c:cat>
            <c:strRef>
              <c:f>[导出数据.csv]Sheet2!$B$1:$C$1</c:f>
              <c:strCache>
                <c:ptCount val="2"/>
                <c:pt idx="0">
                  <c:v>收入（万元）</c:v>
                </c:pt>
                <c:pt idx="1">
                  <c:v>支出（万元）</c:v>
                </c:pt>
              </c:strCache>
            </c:strRef>
          </c:cat>
          <c:val>
            <c:numRef>
              <c:f>[导出数据.csv]Sheet2!$B$2:$C$2</c:f>
              <c:numCache>
                <c:formatCode>General</c:formatCode>
                <c:ptCount val="2"/>
                <c:pt idx="0">
                  <c:v>71.74</c:v>
                </c:pt>
                <c:pt idx="1">
                  <c:v>71.74</c:v>
                </c:pt>
              </c:numCache>
            </c:numRef>
          </c:val>
        </c:ser>
        <c:ser>
          <c:idx val="1"/>
          <c:order val="1"/>
          <c:tx>
            <c:strRef>
              <c:f>[导出数据.csv]Sheet2!$A$3</c:f>
              <c:strCache>
                <c:ptCount val="1"/>
                <c:pt idx="0">
                  <c:v>2023</c:v>
                </c:pt>
              </c:strCache>
            </c:strRef>
          </c:tx>
          <c:spPr>
            <a:solidFill>
              <a:schemeClr val="accent2"/>
            </a:solidFill>
            <a:ln>
              <a:noFill/>
            </a:ln>
            <a:effectLst/>
          </c:spPr>
          <c:invertIfNegative val="0"/>
          <c:dLbls>
            <c:delete val="1"/>
          </c:dLbls>
          <c:cat>
            <c:strRef>
              <c:f>[导出数据.csv]Sheet2!$B$1:$C$1</c:f>
              <c:strCache>
                <c:ptCount val="2"/>
                <c:pt idx="0">
                  <c:v>收入（万元）</c:v>
                </c:pt>
                <c:pt idx="1">
                  <c:v>支出（万元）</c:v>
                </c:pt>
              </c:strCache>
            </c:strRef>
          </c:cat>
          <c:val>
            <c:numRef>
              <c:f>[导出数据.csv]Sheet2!$B$3:$C$3</c:f>
              <c:numCache>
                <c:formatCode>General</c:formatCode>
                <c:ptCount val="2"/>
                <c:pt idx="0">
                  <c:v>96.43</c:v>
                </c:pt>
                <c:pt idx="1">
                  <c:v>96.43</c:v>
                </c:pt>
              </c:numCache>
            </c:numRef>
          </c:val>
        </c:ser>
        <c:dLbls>
          <c:showLegendKey val="0"/>
          <c:showVal val="0"/>
          <c:showCatName val="0"/>
          <c:showSerName val="0"/>
          <c:showPercent val="0"/>
          <c:showBubbleSize val="0"/>
        </c:dLbls>
        <c:gapWidth val="219"/>
        <c:overlap val="-27"/>
        <c:axId val="749854728"/>
        <c:axId val="885628297"/>
      </c:barChart>
      <c:catAx>
        <c:axId val="74985472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5628297"/>
        <c:crosses val="autoZero"/>
        <c:auto val="1"/>
        <c:lblAlgn val="ctr"/>
        <c:lblOffset val="100"/>
        <c:noMultiLvlLbl val="0"/>
      </c:catAx>
      <c:valAx>
        <c:axId val="88562829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85472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43</Pages>
  <Words>9971</Words>
  <Characters>22786</Characters>
  <Lines>86</Lines>
  <Paragraphs>24</Paragraphs>
  <TotalTime>1</TotalTime>
  <ScaleCrop>false</ScaleCrop>
  <LinksUpToDate>false</LinksUpToDate>
  <CharactersWithSpaces>23416</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Zhang Ling Xiao</cp:lastModifiedBy>
  <cp:lastPrinted>2025-09-11T09:08:00Z</cp:lastPrinted>
  <dcterms:modified xsi:type="dcterms:W3CDTF">2025-09-11T10:39:35Z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