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w:t>
                            </w: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草案</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w:t>
                      </w: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草案</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567003</w:t>
      </w:r>
    </w:p>
    <w:p>
      <w:pPr>
        <w:spacing w:line="600" w:lineRule="auto"/>
        <w:jc w:val="left"/>
        <w:rPr>
          <w:rFonts w:hint="eastAsia" w:ascii="楷体_GB2312" w:hAnsi="楷体_GB2312" w:eastAsia="楷体_GB2312" w:cs="楷体_GB2312"/>
          <w:color w:val="000000"/>
          <w:sz w:val="36"/>
          <w:szCs w:val="36"/>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36"/>
          <w:szCs w:val="36"/>
        </w:rPr>
        <w:t>唐山市食品药品综合检验检测中心（自收自支）</w:t>
      </w:r>
    </w:p>
    <w:p>
      <w:pPr>
        <w:spacing w:line="600" w:lineRule="auto"/>
        <w:jc w:val="both"/>
        <w:rPr>
          <w:rFonts w:hint="eastAsia" w:ascii="楷体_GB2312" w:hAnsi="楷体_GB2312" w:eastAsia="楷体_GB2312" w:cs="楷体_GB2312"/>
          <w:color w:val="000000"/>
          <w:sz w:val="36"/>
          <w:szCs w:val="36"/>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hint="eastAsia"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b w:val="0"/>
          <w:sz w:val="72"/>
          <w:szCs w:val="72"/>
        </w:rPr>
        <w:t>唐山市食品药品综合检验检测中心（自收自支）</w:t>
      </w:r>
    </w:p>
    <w:p>
      <w:pPr>
        <w:widowControl/>
        <w:spacing w:before="0" w:beforeLines="0" w:beforeAutospacing="0" w:after="0" w:afterLines="0" w:afterAutospacing="0" w:line="360" w:lineRule="auto"/>
        <w:jc w:val="center"/>
        <w:rPr>
          <w:rFonts w:hint="eastAsia" w:ascii="方正小标宋简体" w:hAnsi="方正小标宋简体" w:eastAsia="方正小标宋简体" w:cs="方正小标宋简体"/>
          <w:sz w:val="72"/>
          <w:szCs w:val="72"/>
          <w:lang w:eastAsia="zh-CN"/>
        </w:rPr>
      </w:pPr>
      <w:r>
        <w:rPr>
          <w:rFonts w:hint="eastAsia" w:ascii="方正小标宋简体" w:hAnsi="方正小标宋简体" w:eastAsia="方正小标宋简体" w:cs="方正小标宋简体"/>
          <w:b w:val="0"/>
          <w:sz w:val="72"/>
          <w:szCs w:val="72"/>
        </w:rPr>
        <w:t>2024年度部门决算</w:t>
      </w:r>
      <w:r>
        <w:rPr>
          <w:rFonts w:hint="eastAsia" w:ascii="方正小标宋简体" w:hAnsi="方正小标宋简体" w:eastAsia="方正小标宋简体" w:cs="方正小标宋简体"/>
          <w:b w:val="0"/>
          <w:sz w:val="72"/>
          <w:szCs w:val="72"/>
          <w:lang w:eastAsia="zh-CN"/>
        </w:rPr>
        <w:t>草案</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唐山市食品药品综合检验检测中心（自收自支）</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唐山市食品药品综合检验检测中心（唐山市畜牧水产品质量监测中心）是依照《唐山市机构编制委员会关于整合组建唐山市食品药品综合检验检测中心的通知》（唐机编字〔2017〕32号）批复，整合原市农牧局、市食品药品监督管理局、市粮食局、市林业局4个局7个检测机构而成，为唐山市政府直属事业单位，经费形式为财政性资金基本保障（公益一类），规格为副县级，内设科室18个，主要负责食品、药品、农产品、农业投入品强制性和公益性检验检测以及县级暂不具备条件开展的检验检测工作。唐山市食品药品综合检验检测中心（自收自支）是依照《中共唐山市委机构编制委员会办公室关于唐山市农村经济服务处和唐山市翔云宾馆并入唐山市食品药品综合检验检测中心的批复》（唐机编办〔2020〕91号）批复并入唐山市食品药品综合检验检测中心。事业编制数9名。</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唐山市食品药品综合检验检测中心（自收自支）</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自收自支</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部门（单位）：唐山市食品药品综合检验检测中心（自收自支）</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部门（单位）：唐山市食品药品综合检验检测中心（自收自支）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94.30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94.30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市场监督管理事务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2013850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部门（单位）：唐山市食品药品综合检验检测中心（自收自支）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2013850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部门（单位）：唐山市食品药品综合检验检测中心（自收自支）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76.98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76.98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4.11</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4.11</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94.30</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9"/>
        <w:gridCol w:w="1329"/>
        <w:gridCol w:w="705"/>
        <w:gridCol w:w="1305"/>
        <w:gridCol w:w="1366"/>
        <w:gridCol w:w="645"/>
        <w:gridCol w:w="2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327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编制部门（单位）：唐山市食品药品综合检验检测中心（自收自支）</w:t>
            </w:r>
          </w:p>
        </w:tc>
        <w:tc>
          <w:tcPr>
            <w:tcW w:w="267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53"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129"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3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6"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10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94.30</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2013850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8.03</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8.03</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5.35</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部门（单位）：唐山市食品药品综合检验检测中心（自收自支）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55.52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18.28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3.43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15.99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5.35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2.68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38.78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24.11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14.46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94.30</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部门（单位）：唐山市食品药品综合检验检测中心（自收自支）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部门（单位）：唐山市食品药品综合检验检测中心（自收自支）</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部门（单位）：唐山市食品药品综合检验检测中心（自收自支）</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本单位2024年度收、支总计（含结转和结余）均为94.30万元。与2023年度决算相比，收支各减少2.13万元，下降2.2%，主要原因是2023年在职转退休1人，2024年退休死亡1人，导致2024年人员经费收支减少。</w:t>
      </w:r>
      <w:bookmarkStart w:id="0" w:name="_GoBack"/>
      <w:bookmarkEnd w:id="0"/>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94.30万元，其中：财政拨款收入94.30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本单位2024年度本年支出合计94.30万元，其中：基本支出94.30万元，占100.0%；项目支出0.00万元，占0.0%；上缴上级支出0.00万元，占0.0%；经营支出0.00万元，占0.0%；对附属单位补助支出0.00万元，占0.0%。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本单位2024年度财政拨款收、支总计（含结转和结余）均为94.30万元。与2023年度相比，财政拨款收支各减少2.13万元，降低2.2%，主要原因是2023年在职转退休1人，2024年退休死亡1人，导致2024年人员经费收支减少。。</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94.30万元,比上年减少2.13万元，降低2.2%，主要原因是2023年在职转退休1人，2024年退休死亡1人，导致2024年人员经费收入减少。；本年支出94.30万元，比上年减少2.13万元，降低2.2%，主要原因是2023年在职转退休1人，2024年退休死亡1人，导致2024年人员经费支出减少。。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94.30万元,比上年减少2.13万元，降低2.2%，主要原因是2023年在职转退休1人，2024年退休死亡1人，导致2024年人员经费收入减少。；本年支出94.30万元，比上年减少2.13万元，降低2.2%，主要原因是2023年在职转退休1人，2024年退休死亡1人，导致2024年人员经费支出减少。。</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w:t>
      </w:r>
      <w:r>
        <w:rPr>
          <w:rFonts w:hint="eastAsia" w:ascii="Times New Roman" w:eastAsia="仿宋_GB2312"/>
          <w:b w:val="0"/>
          <w:sz w:val="32"/>
          <w:szCs w:val="32"/>
        </w:rPr>
        <w:t>政府性基金预算财政拨款本年收入0万元，较上年持平，主要原因是我单位无政府性基金预算财政拨款；本年支出0万元，较上年持平，主要是我单位无政府性基金预算财政拨款。</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w:t>
      </w:r>
      <w:r>
        <w:rPr>
          <w:rFonts w:hint="eastAsia" w:ascii="Times New Roman" w:eastAsia="仿宋_GB2312"/>
          <w:b w:val="0"/>
          <w:sz w:val="32"/>
          <w:szCs w:val="32"/>
        </w:rPr>
        <w:t>国有资本经营预算财政拨款本年收入0万元，较上年持平，主要原因是我单位无国有资本经营预算财政拨款；本年支出0万元，较上年持平，主要是无国有资本经营预算财政拨款。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94.30万元，完成年初预算的97.0%，比年初预算减少2.89万元，决算数小于预算数主要原因是2024年退休死亡1人，导致决算书小于预算数；本年支出94.30万元，完成年初预算的97.0%，比年初预算减少2.89万元，决算数小于预算数主要原因是2024年退休死亡1人，导致决算书小于预算数。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97.0%，比年初预算减少2.89万元，主要原因是2024年退休死亡1人，导致决算书小于预算数；支出完成年初预算的97.0%，比年初预算减少2.89万元，主要原因是2024年退休死亡1人，导致决算</w:t>
      </w:r>
      <w:r>
        <w:rPr>
          <w:rFonts w:hint="eastAsia" w:ascii="Times New Roman" w:eastAsia="仿宋_GB2312"/>
          <w:b w:val="0"/>
          <w:sz w:val="32"/>
          <w:szCs w:val="32"/>
          <w:lang w:eastAsia="zh-CN"/>
        </w:rPr>
        <w:t>数</w:t>
      </w:r>
      <w:r>
        <w:rPr>
          <w:rFonts w:ascii="Times New Roman" w:eastAsia="仿宋_GB2312"/>
          <w:b w:val="0"/>
          <w:sz w:val="32"/>
          <w:szCs w:val="32"/>
        </w:rPr>
        <w:t>小于预算数。</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w:t>
      </w:r>
      <w:r>
        <w:rPr>
          <w:rFonts w:hint="eastAsia" w:ascii="Times New Roman" w:eastAsia="仿宋_GB2312"/>
          <w:b w:val="0"/>
          <w:sz w:val="32"/>
          <w:szCs w:val="32"/>
        </w:rPr>
        <w:t>政府性基金预算财政拨款本年收入0万元，较上年持平，主要原因是我单位无政府性基金预算财政拨款；本年支出0万元，较上年持平，主要是我单位无政府性基金预算财政拨款。</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w:t>
      </w:r>
      <w:r>
        <w:rPr>
          <w:rFonts w:hint="eastAsia" w:ascii="Times New Roman" w:eastAsia="仿宋_GB2312"/>
          <w:b w:val="0"/>
          <w:sz w:val="32"/>
          <w:szCs w:val="32"/>
        </w:rPr>
        <w:t>国有资本经营预算财政拨款本年收入0万元，较上年持平，主要原因是我单位无国有资本经营预算财政拨款；本年支出0万元，较上年持平，主要是无国有资本经营预算财政拨款。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2024年度财政拨款支出94.30万元，主要用于以下方面：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一般公共服务（类）支出76.98万元，占81.6%，主要用于人员工资福利等支出；社会保障和就业（类）支出8.03万元，占8.5%，主要用于</w:t>
      </w:r>
      <w:r>
        <w:rPr>
          <w:rFonts w:hint="eastAsia" w:ascii="Times New Roman" w:eastAsia="仿宋_GB2312"/>
          <w:b w:val="0"/>
          <w:sz w:val="32"/>
          <w:szCs w:val="32"/>
          <w:lang w:eastAsia="zh-CN"/>
        </w:rPr>
        <w:t>养老保险</w:t>
      </w:r>
      <w:r>
        <w:rPr>
          <w:rFonts w:ascii="Times New Roman" w:eastAsia="仿宋_GB2312"/>
          <w:b w:val="0"/>
          <w:sz w:val="32"/>
          <w:szCs w:val="32"/>
        </w:rPr>
        <w:t>等支出；卫生健康（类）支出5.18万元，占5.5%，主要用于</w:t>
      </w:r>
      <w:r>
        <w:rPr>
          <w:rFonts w:hint="eastAsia" w:ascii="Times New Roman" w:eastAsia="仿宋_GB2312"/>
          <w:b w:val="0"/>
          <w:sz w:val="32"/>
          <w:szCs w:val="32"/>
          <w:lang w:eastAsia="zh-CN"/>
        </w:rPr>
        <w:t>医疗保险</w:t>
      </w:r>
      <w:r>
        <w:rPr>
          <w:rFonts w:ascii="Times New Roman" w:eastAsia="仿宋_GB2312"/>
          <w:b w:val="0"/>
          <w:sz w:val="32"/>
          <w:szCs w:val="32"/>
        </w:rPr>
        <w:t>等支出；住房保障（类）支出4.11万元，占4.4%，主要用于</w:t>
      </w:r>
      <w:r>
        <w:rPr>
          <w:rFonts w:hint="eastAsia" w:ascii="Times New Roman" w:eastAsia="仿宋_GB2312"/>
          <w:b w:val="0"/>
          <w:sz w:val="32"/>
          <w:szCs w:val="32"/>
          <w:lang w:eastAsia="zh-CN"/>
        </w:rPr>
        <w:t>住房公积金</w:t>
      </w:r>
      <w:r>
        <w:rPr>
          <w:rFonts w:ascii="Times New Roman" w:eastAsia="仿宋_GB2312"/>
          <w:b w:val="0"/>
          <w:sz w:val="32"/>
          <w:szCs w:val="32"/>
        </w:rPr>
        <w:t>等支出。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2024年度财政拨款基本支出94.30万元，其中：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人员经费94.30万元，主要包括基本工资</w:t>
      </w:r>
      <w:r>
        <w:rPr>
          <w:rFonts w:hint="eastAsia" w:ascii="Times New Roman" w:eastAsia="仿宋_GB2312"/>
          <w:b w:val="0"/>
          <w:sz w:val="32"/>
          <w:szCs w:val="32"/>
          <w:lang w:val="en-US" w:eastAsia="zh-CN"/>
        </w:rPr>
        <w:t>18.28万元</w:t>
      </w:r>
      <w:r>
        <w:rPr>
          <w:rFonts w:ascii="Times New Roman" w:eastAsia="仿宋_GB2312"/>
          <w:b w:val="0"/>
          <w:sz w:val="32"/>
          <w:szCs w:val="32"/>
        </w:rPr>
        <w:t>、津贴补贴</w:t>
      </w:r>
      <w:r>
        <w:rPr>
          <w:rFonts w:hint="eastAsia" w:ascii="Times New Roman" w:eastAsia="仿宋_GB2312"/>
          <w:b w:val="0"/>
          <w:sz w:val="32"/>
          <w:szCs w:val="32"/>
          <w:lang w:val="en-US" w:eastAsia="zh-CN"/>
        </w:rPr>
        <w:t>3.43万元</w:t>
      </w:r>
      <w:r>
        <w:rPr>
          <w:rFonts w:ascii="Times New Roman" w:eastAsia="仿宋_GB2312"/>
          <w:b w:val="0"/>
          <w:sz w:val="32"/>
          <w:szCs w:val="32"/>
        </w:rPr>
        <w:t>、绩效工资</w:t>
      </w:r>
      <w:r>
        <w:rPr>
          <w:rFonts w:hint="eastAsia" w:ascii="Times New Roman" w:eastAsia="仿宋_GB2312"/>
          <w:b w:val="0"/>
          <w:sz w:val="32"/>
          <w:szCs w:val="32"/>
          <w:lang w:val="en-US" w:eastAsia="zh-CN"/>
        </w:rPr>
        <w:t>15.99万元</w:t>
      </w:r>
      <w:r>
        <w:rPr>
          <w:rFonts w:ascii="Times New Roman" w:eastAsia="仿宋_GB2312"/>
          <w:b w:val="0"/>
          <w:sz w:val="32"/>
          <w:szCs w:val="32"/>
        </w:rPr>
        <w:t>、机关事业</w:t>
      </w:r>
      <w:r>
        <w:rPr>
          <w:rFonts w:hint="eastAsia" w:ascii="Times New Roman" w:eastAsia="仿宋_GB2312"/>
          <w:b w:val="0"/>
          <w:sz w:val="32"/>
          <w:szCs w:val="32"/>
          <w:lang w:eastAsia="zh-CN"/>
        </w:rPr>
        <w:t>单位</w:t>
      </w:r>
      <w:r>
        <w:rPr>
          <w:rFonts w:ascii="Times New Roman" w:eastAsia="仿宋_GB2312"/>
          <w:b w:val="0"/>
          <w:sz w:val="32"/>
          <w:szCs w:val="32"/>
        </w:rPr>
        <w:t>基本养老保险缴费</w:t>
      </w:r>
      <w:r>
        <w:rPr>
          <w:rFonts w:hint="eastAsia" w:ascii="Times New Roman" w:eastAsia="仿宋_GB2312"/>
          <w:b w:val="0"/>
          <w:sz w:val="32"/>
          <w:szCs w:val="32"/>
          <w:lang w:val="en-US" w:eastAsia="zh-CN"/>
        </w:rPr>
        <w:t>5.35万元</w:t>
      </w:r>
      <w:r>
        <w:rPr>
          <w:rFonts w:ascii="Times New Roman" w:eastAsia="仿宋_GB2312"/>
          <w:b w:val="0"/>
          <w:sz w:val="32"/>
          <w:szCs w:val="32"/>
        </w:rPr>
        <w:t>、职业年金缴费</w:t>
      </w:r>
      <w:r>
        <w:rPr>
          <w:rFonts w:hint="eastAsia" w:ascii="Times New Roman" w:eastAsia="仿宋_GB2312"/>
          <w:b w:val="0"/>
          <w:sz w:val="32"/>
          <w:szCs w:val="32"/>
          <w:lang w:val="en-US" w:eastAsia="zh-CN"/>
        </w:rPr>
        <w:t>2.68万元</w:t>
      </w:r>
      <w:r>
        <w:rPr>
          <w:rFonts w:ascii="Times New Roman" w:eastAsia="仿宋_GB2312"/>
          <w:b w:val="0"/>
          <w:sz w:val="32"/>
          <w:szCs w:val="32"/>
        </w:rPr>
        <w:t>、职工基本医疗保险缴费</w:t>
      </w:r>
      <w:r>
        <w:rPr>
          <w:rFonts w:hint="eastAsia" w:ascii="Times New Roman" w:eastAsia="仿宋_GB2312"/>
          <w:b w:val="0"/>
          <w:sz w:val="32"/>
          <w:szCs w:val="32"/>
          <w:lang w:val="en-US" w:eastAsia="zh-CN"/>
        </w:rPr>
        <w:t>2.49万元</w:t>
      </w:r>
      <w:r>
        <w:rPr>
          <w:rFonts w:ascii="Times New Roman" w:eastAsia="仿宋_GB2312"/>
          <w:b w:val="0"/>
          <w:sz w:val="32"/>
          <w:szCs w:val="32"/>
        </w:rPr>
        <w:t>、公务员医疗补助缴费</w:t>
      </w:r>
      <w:r>
        <w:rPr>
          <w:rFonts w:hint="eastAsia" w:ascii="Times New Roman" w:eastAsia="仿宋_GB2312"/>
          <w:b w:val="0"/>
          <w:sz w:val="32"/>
          <w:szCs w:val="32"/>
          <w:lang w:val="en-US" w:eastAsia="zh-CN"/>
        </w:rPr>
        <w:t>2.69万元</w:t>
      </w:r>
      <w:r>
        <w:rPr>
          <w:rFonts w:ascii="Times New Roman" w:eastAsia="仿宋_GB2312"/>
          <w:b w:val="0"/>
          <w:sz w:val="32"/>
          <w:szCs w:val="32"/>
        </w:rPr>
        <w:t>、住房公积金</w:t>
      </w:r>
      <w:r>
        <w:rPr>
          <w:rFonts w:hint="eastAsia" w:ascii="Times New Roman" w:eastAsia="仿宋_GB2312"/>
          <w:b w:val="0"/>
          <w:sz w:val="32"/>
          <w:szCs w:val="32"/>
          <w:lang w:val="en-US" w:eastAsia="zh-CN"/>
        </w:rPr>
        <w:t>4.11万元</w:t>
      </w:r>
      <w:r>
        <w:rPr>
          <w:rFonts w:ascii="Times New Roman" w:eastAsia="仿宋_GB2312"/>
          <w:b w:val="0"/>
          <w:sz w:val="32"/>
          <w:szCs w:val="32"/>
        </w:rPr>
        <w:t>、其他社会保障缴费</w:t>
      </w:r>
      <w:r>
        <w:rPr>
          <w:rFonts w:hint="eastAsia" w:ascii="Times New Roman" w:eastAsia="仿宋_GB2312"/>
          <w:b w:val="0"/>
          <w:sz w:val="32"/>
          <w:szCs w:val="32"/>
          <w:lang w:val="en-US" w:eastAsia="zh-CN"/>
        </w:rPr>
        <w:t>0.49万元</w:t>
      </w:r>
      <w:r>
        <w:rPr>
          <w:rFonts w:ascii="Times New Roman" w:eastAsia="仿宋_GB2312"/>
          <w:b w:val="0"/>
          <w:sz w:val="32"/>
          <w:szCs w:val="32"/>
        </w:rPr>
        <w:t>、退休费</w:t>
      </w:r>
      <w:r>
        <w:rPr>
          <w:rFonts w:hint="eastAsia" w:ascii="Times New Roman" w:eastAsia="仿宋_GB2312"/>
          <w:b w:val="0"/>
          <w:sz w:val="32"/>
          <w:szCs w:val="32"/>
          <w:lang w:val="en-US" w:eastAsia="zh-CN"/>
        </w:rPr>
        <w:t>24.11万元</w:t>
      </w:r>
      <w:r>
        <w:rPr>
          <w:rFonts w:ascii="Times New Roman" w:eastAsia="仿宋_GB2312"/>
          <w:b w:val="0"/>
          <w:sz w:val="32"/>
          <w:szCs w:val="32"/>
        </w:rPr>
        <w:t>、医疗费补助</w:t>
      </w:r>
      <w:r>
        <w:rPr>
          <w:rFonts w:hint="eastAsia" w:ascii="Times New Roman" w:eastAsia="仿宋_GB2312"/>
          <w:b w:val="0"/>
          <w:sz w:val="32"/>
          <w:szCs w:val="32"/>
          <w:lang w:val="en-US" w:eastAsia="zh-CN"/>
        </w:rPr>
        <w:t>14.46万元</w:t>
      </w:r>
      <w:r>
        <w:rPr>
          <w:rFonts w:ascii="Times New Roman" w:eastAsia="仿宋_GB2312"/>
          <w:b w:val="0"/>
          <w:sz w:val="32"/>
          <w:szCs w:val="32"/>
        </w:rPr>
        <w:t>、奖励金</w:t>
      </w:r>
      <w:r>
        <w:rPr>
          <w:rFonts w:hint="eastAsia" w:ascii="Times New Roman" w:eastAsia="仿宋_GB2312"/>
          <w:b w:val="0"/>
          <w:sz w:val="32"/>
          <w:szCs w:val="32"/>
          <w:lang w:val="en-US" w:eastAsia="zh-CN"/>
        </w:rPr>
        <w:t>0.01万元</w:t>
      </w:r>
      <w:r>
        <w:rPr>
          <w:rFonts w:ascii="Times New Roman" w:eastAsia="仿宋_GB2312"/>
          <w:b w:val="0"/>
          <w:sz w:val="32"/>
          <w:szCs w:val="32"/>
        </w:rPr>
        <w:t>、其他对个人和家庭的补助支出</w:t>
      </w:r>
      <w:r>
        <w:rPr>
          <w:rFonts w:hint="eastAsia" w:ascii="Times New Roman" w:eastAsia="仿宋_GB2312"/>
          <w:b w:val="0"/>
          <w:sz w:val="32"/>
          <w:szCs w:val="32"/>
          <w:lang w:val="en-US" w:eastAsia="zh-CN"/>
        </w:rPr>
        <w:t>0.20万元</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公用经费0.00万元，</w:t>
      </w:r>
      <w:r>
        <w:rPr>
          <w:rFonts w:hint="default" w:ascii="Times New Roman" w:hAnsi="Times New Roman" w:eastAsia="仿宋_GB2312" w:cs="Times New Roman"/>
          <w:color w:val="auto"/>
          <w:kern w:val="2"/>
          <w:sz w:val="32"/>
          <w:szCs w:val="32"/>
          <w:lang w:val="zh-CN" w:eastAsia="zh-CN" w:bidi="ar-SA"/>
        </w:rPr>
        <w:t>主要</w:t>
      </w:r>
      <w:r>
        <w:rPr>
          <w:rFonts w:hint="eastAsia" w:ascii="仿宋_GB2312" w:hAnsi="Times New Roman" w:eastAsia="仿宋_GB2312" w:cs="DengXian-Regular"/>
          <w:sz w:val="32"/>
          <w:szCs w:val="32"/>
          <w:lang w:val="en-US" w:eastAsia="zh-CN"/>
        </w:rPr>
        <w:t>本单位无公用经费支出。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本单位2024年度“三公”经费财政拨款支出预算为0.00万元，支出决算为0.00万元，完成预算的0.0%，较预算增加0.00万元，增长0.0%，主要原因是本单位2024年度无“三公”经费财政拨款</w:t>
      </w:r>
      <w:r>
        <w:rPr>
          <w:rFonts w:hint="eastAsia" w:ascii="Times New Roman" w:eastAsia="仿宋_GB2312"/>
          <w:b w:val="0"/>
          <w:sz w:val="32"/>
          <w:szCs w:val="32"/>
          <w:lang w:eastAsia="zh-CN"/>
        </w:rPr>
        <w:t>财政拨款收入和支出</w:t>
      </w:r>
      <w:r>
        <w:rPr>
          <w:rFonts w:ascii="Times New Roman" w:eastAsia="仿宋_GB2312"/>
          <w:b w:val="0"/>
          <w:sz w:val="32"/>
          <w:szCs w:val="32"/>
        </w:rPr>
        <w:t>；较2023年度决算增加0.00万元，增长0.00%，主要原因是本单位2024年度无“三公”经费财政拨款</w:t>
      </w:r>
      <w:r>
        <w:rPr>
          <w:rFonts w:hint="eastAsia" w:ascii="Times New Roman" w:eastAsia="仿宋_GB2312"/>
          <w:b w:val="0"/>
          <w:sz w:val="32"/>
          <w:szCs w:val="32"/>
          <w:lang w:eastAsia="zh-CN"/>
        </w:rPr>
        <w:t>财政拨款收入和支出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楷体_GB2312"/>
          <w:b/>
          <w:sz w:val="32"/>
          <w:szCs w:val="32"/>
        </w:rPr>
      </w:pPr>
      <w:r>
        <w:rPr>
          <w:rFonts w:ascii="Times New Roman" w:eastAsia="楷体_GB2312"/>
          <w:b/>
          <w:sz w:val="32"/>
          <w:szCs w:val="32"/>
        </w:rPr>
        <w:t>1.因公出国（境）费支出情况。</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本单位2024年度</w:t>
      </w:r>
      <w:r>
        <w:rPr>
          <w:rFonts w:hint="eastAsia" w:ascii="Times New Roman" w:eastAsia="仿宋_GB2312"/>
          <w:b w:val="0"/>
          <w:sz w:val="32"/>
          <w:szCs w:val="32"/>
          <w:lang w:eastAsia="zh-CN"/>
        </w:rPr>
        <w:t>无</w:t>
      </w:r>
      <w:r>
        <w:rPr>
          <w:rFonts w:ascii="Times New Roman" w:eastAsia="仿宋_GB2312"/>
          <w:b w:val="0"/>
          <w:sz w:val="32"/>
          <w:szCs w:val="32"/>
        </w:rPr>
        <w:t>因公出国（境）费支出预算</w:t>
      </w:r>
      <w:r>
        <w:rPr>
          <w:rFonts w:hint="eastAsia" w:ascii="Times New Roman" w:eastAsia="仿宋_GB2312"/>
          <w:b w:val="0"/>
          <w:sz w:val="32"/>
          <w:szCs w:val="32"/>
          <w:lang w:eastAsia="zh-CN"/>
        </w:rPr>
        <w:t>财政拨款收入和支出</w:t>
      </w:r>
    </w:p>
    <w:p>
      <w:pPr>
        <w:widowControl/>
        <w:numPr>
          <w:ilvl w:val="0"/>
          <w:numId w:val="2"/>
        </w:numPr>
        <w:spacing w:before="0" w:beforeLines="0" w:beforeAutospacing="0" w:after="0" w:afterLines="0" w:afterAutospacing="0" w:line="360" w:lineRule="auto"/>
        <w:ind w:firstLine="643" w:firstLineChars="200"/>
        <w:jc w:val="left"/>
        <w:rPr>
          <w:rFonts w:ascii="Times New Roman" w:eastAsia="楷体_GB2312"/>
          <w:b/>
          <w:sz w:val="32"/>
          <w:szCs w:val="32"/>
        </w:rPr>
      </w:pPr>
      <w:r>
        <w:rPr>
          <w:rFonts w:ascii="Times New Roman" w:eastAsia="楷体_GB2312"/>
          <w:b/>
          <w:sz w:val="32"/>
          <w:szCs w:val="32"/>
        </w:rPr>
        <w:t>公务用车购置及运行维护费支出情况。</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color w:val="000000"/>
          <w:sz w:val="32"/>
          <w:szCs w:val="32"/>
          <w:highlight w:val="none"/>
        </w:rPr>
        <w:t>未发生公务用车购置经费支出</w:t>
      </w:r>
      <w:r>
        <w:rPr>
          <w:rFonts w:hint="eastAsia" w:ascii="仿宋_GB2312" w:hAnsi="Times New Roman" w:eastAsia="仿宋_GB2312" w:cs="DengXian-Regular"/>
          <w:color w:val="000000"/>
          <w:sz w:val="32"/>
          <w:szCs w:val="32"/>
          <w:highlight w:val="none"/>
          <w:lang w:val="en-US" w:eastAsia="zh-CN"/>
        </w:rPr>
        <w:t>，</w:t>
      </w:r>
      <w:r>
        <w:rPr>
          <w:rFonts w:hint="eastAsia" w:ascii="仿宋_GB2312" w:hAnsi="Times New Roman" w:eastAsia="仿宋_GB2312" w:cs="DengXian-Regular"/>
          <w:sz w:val="32"/>
          <w:szCs w:val="32"/>
        </w:rPr>
        <w:t>本单位202</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年度无公务用车购置及运行维护费预算及公务用车购置预算。</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年度单位</w:t>
      </w:r>
      <w:r>
        <w:rPr>
          <w:rFonts w:hint="eastAsia" w:ascii="Times New Roman" w:hAnsi="Times New Roman" w:eastAsia="仿宋_GB2312" w:cs="Times New Roman"/>
          <w:color w:val="auto"/>
          <w:kern w:val="2"/>
          <w:sz w:val="32"/>
          <w:szCs w:val="32"/>
          <w:lang w:val="en-US" w:eastAsia="zh-CN" w:bidi="ar-SA"/>
        </w:rPr>
        <w:t>财政开支</w:t>
      </w:r>
      <w:r>
        <w:rPr>
          <w:rFonts w:hint="default" w:ascii="Times New Roman" w:hAnsi="Times New Roman" w:eastAsia="仿宋_GB2312" w:cs="Times New Roman"/>
          <w:color w:val="auto"/>
          <w:kern w:val="2"/>
          <w:sz w:val="32"/>
          <w:szCs w:val="32"/>
          <w:lang w:val="zh-CN" w:eastAsia="zh-CN" w:bidi="ar-SA"/>
        </w:rPr>
        <w:t>公务用车保有量0辆，发生运行维护费支出0万元。公车运行维护费支出较预算增加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本单位无公务用车运行维护费支出</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本单位无公务用车运行维护费支出</w:t>
      </w:r>
      <w:r>
        <w:rPr>
          <w:rFonts w:hint="eastAsia" w:ascii="仿宋_GB2312" w:hAnsi="Times New Roman" w:eastAsia="仿宋_GB2312" w:cs="DengXian-Regular"/>
          <w:sz w:val="32"/>
          <w:szCs w:val="32"/>
        </w:rPr>
        <w:t>。</w:t>
      </w:r>
    </w:p>
    <w:p>
      <w:pPr>
        <w:widowControl/>
        <w:numPr>
          <w:ilvl w:val="0"/>
          <w:numId w:val="2"/>
        </w:numPr>
        <w:spacing w:before="0" w:beforeLines="0" w:beforeAutospacing="0" w:after="0" w:afterLines="0" w:afterAutospacing="0" w:line="360" w:lineRule="auto"/>
        <w:ind w:left="0" w:leftChars="0" w:firstLine="643" w:firstLineChars="200"/>
        <w:jc w:val="left"/>
        <w:rPr>
          <w:rFonts w:ascii="Times New Roman" w:eastAsia="楷体_GB2312"/>
          <w:b/>
          <w:sz w:val="32"/>
          <w:szCs w:val="32"/>
        </w:rPr>
      </w:pPr>
      <w:r>
        <w:rPr>
          <w:rFonts w:ascii="Times New Roman" w:eastAsia="楷体_GB2312"/>
          <w:b/>
          <w:sz w:val="32"/>
          <w:szCs w:val="32"/>
        </w:rPr>
        <w:t>公务接待费支出情况。</w:t>
      </w:r>
    </w:p>
    <w:p>
      <w:pPr>
        <w:adjustRightInd w:val="0"/>
        <w:snapToGrid w:val="0"/>
        <w:spacing w:line="580" w:lineRule="exact"/>
        <w:ind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eastAsia" w:ascii="Times New Roman" w:hAnsi="Times New Roman" w:eastAsia="仿宋_GB2312"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万元，主要是</w:t>
      </w:r>
      <w:r>
        <w:rPr>
          <w:rFonts w:hint="eastAsia" w:ascii="仿宋_GB2312" w:hAnsi="Times New Roman" w:eastAsia="仿宋_GB2312" w:cs="DengXian-Regular"/>
          <w:sz w:val="32"/>
          <w:szCs w:val="32"/>
        </w:rPr>
        <w:t>本单位无公务接待费支出预算</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万元，主要是</w:t>
      </w:r>
      <w:r>
        <w:rPr>
          <w:rFonts w:hint="eastAsia" w:ascii="仿宋_GB2312" w:hAnsi="Times New Roman" w:eastAsia="仿宋_GB2312" w:cs="DengXian-Regular"/>
          <w:sz w:val="32"/>
          <w:szCs w:val="32"/>
        </w:rPr>
        <w:t>本单位无公务接待费支出预算</w:t>
      </w:r>
      <w:r>
        <w:rPr>
          <w:rFonts w:hint="default" w:ascii="Times New Roman" w:hAnsi="Times New Roman" w:eastAsia="仿宋_GB2312" w:cs="Times New Roman"/>
          <w:color w:val="auto"/>
          <w:kern w:val="2"/>
          <w:sz w:val="32"/>
          <w:szCs w:val="32"/>
          <w:lang w:val="zh-CN" w:eastAsia="zh-CN" w:bidi="ar-SA"/>
        </w:rPr>
        <w:t>。</w:t>
      </w:r>
    </w:p>
    <w:p>
      <w:pPr>
        <w:widowControl/>
        <w:numPr>
          <w:ilvl w:val="0"/>
          <w:numId w:val="3"/>
        </w:numPr>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r>
        <w:rPr>
          <w:rFonts w:ascii="Times New Roman" w:eastAsia="黑体"/>
          <w:b w:val="0"/>
          <w:sz w:val="32"/>
          <w:szCs w:val="32"/>
        </w:rPr>
        <w:t>机关运行经费支出说明</w:t>
      </w:r>
    </w:p>
    <w:p>
      <w:pPr>
        <w:adjustRightInd w:val="0"/>
        <w:snapToGrid w:val="0"/>
        <w:spacing w:line="580" w:lineRule="exact"/>
        <w:ind w:firstLine="660" w:firstLineChars="200"/>
        <w:rPr>
          <w:rFonts w:hint="default" w:ascii="Times New Roman" w:eastAsia="黑体"/>
          <w:b w:val="0"/>
          <w:sz w:val="32"/>
          <w:szCs w:val="32"/>
          <w:lang w:val="en-US" w:eastAsia="zh-CN"/>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_GB2312" w:hAnsi="Times New Roman" w:eastAsia="仿宋_GB2312" w:cs="DengXian-Regular"/>
          <w:sz w:val="32"/>
          <w:szCs w:val="32"/>
        </w:rPr>
        <w:t>本单位</w:t>
      </w:r>
      <w:r>
        <w:rPr>
          <w:rFonts w:hint="eastAsia" w:ascii="仿宋_GB2312" w:hAnsi="Times New Roman" w:eastAsia="仿宋_GB2312" w:cs="DengXian-Regular"/>
          <w:sz w:val="32"/>
          <w:szCs w:val="32"/>
          <w:lang w:val="en-US" w:eastAsia="zh-CN"/>
        </w:rPr>
        <w:t>是事业单位无</w:t>
      </w:r>
      <w:r>
        <w:rPr>
          <w:rFonts w:hint="eastAsia" w:ascii="仿宋_GB2312" w:hAnsi="Times New Roman" w:eastAsia="仿宋_GB2312" w:cs="DengXian-Regular"/>
          <w:sz w:val="32"/>
          <w:szCs w:val="32"/>
        </w:rPr>
        <w:t>机关运行经费支出。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outlineLvl w:val="1"/>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本单位202</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年度无政府采购支出</w:t>
      </w:r>
      <w:r>
        <w:rPr>
          <w:rFonts w:hint="eastAsia" w:ascii="仿宋_GB2312" w:hAnsi="Times New Roman" w:eastAsia="仿宋_GB2312" w:cs="DengXian-Regular"/>
          <w:sz w:val="32"/>
          <w:szCs w:val="32"/>
          <w:lang w:eastAsia="zh-CN"/>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hAnsi="Times New Roman" w:eastAsia="仿宋_GB2312" w:cs="DengXian-Regular"/>
          <w:sz w:val="32"/>
          <w:szCs w:val="32"/>
        </w:rPr>
        <w:t>本单位</w:t>
      </w:r>
      <w:r>
        <w:rPr>
          <w:rFonts w:ascii="Times New Roman" w:eastAsia="仿宋_GB2312"/>
          <w:b w:val="0"/>
          <w:sz w:val="32"/>
          <w:szCs w:val="32"/>
        </w:rPr>
        <w:t>截至2024年12月31日</w:t>
      </w:r>
      <w:r>
        <w:rPr>
          <w:rFonts w:hint="eastAsia" w:ascii="仿宋_GB2312" w:hAnsi="Times New Roman" w:eastAsia="仿宋_GB2312" w:cs="DengXian-Regular"/>
          <w:sz w:val="32"/>
          <w:szCs w:val="32"/>
          <w:lang w:val="en-US" w:eastAsia="zh-CN"/>
        </w:rPr>
        <w:t>无国有资产</w:t>
      </w:r>
      <w:r>
        <w:rPr>
          <w:rFonts w:hint="eastAsia" w:ascii="仿宋_GB2312" w:hAnsi="Times New Roman" w:eastAsia="仿宋_GB2312" w:cs="DengXian-Regular"/>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根据预算绩效管理要求，本单位组织对2024年度本级预算项目支出全面开展绩效自评，共涉及资金94.3万元（决算金额）。其中，一般公共预算项目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%；政府性基金预算项目0个，涉及资金0万元，占政府性基金预算项目支出总额的0%；国有资本经营预算项目0个，涉及资金0万元，占国有资本经营预算项目支出总额的0%。</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adjustRightInd w:val="0"/>
        <w:snapToGrid w:val="0"/>
        <w:spacing w:line="580" w:lineRule="exact"/>
        <w:ind w:firstLine="660" w:firstLineChars="200"/>
        <w:rPr>
          <w:rFonts w:hint="default" w:ascii="Times New Roman" w:hAnsi="Times New Roman" w:eastAsia="仿宋_GB2312" w:cs="Times New Roman"/>
          <w:i w:val="0"/>
          <w:iCs w:val="0"/>
          <w:caps w:val="0"/>
          <w:color w:val="333333"/>
          <w:spacing w:val="0"/>
          <w:sz w:val="33"/>
          <w:szCs w:val="33"/>
          <w:highlight w:val="yellow"/>
          <w:shd w:val="clear" w:fill="FFFFFF"/>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lang w:val="en-US" w:eastAsia="zh-CN"/>
        </w:rPr>
        <w:t>无预算项目，</w:t>
      </w:r>
      <w:r>
        <w:rPr>
          <w:rFonts w:hint="eastAsia" w:ascii="仿宋_GB2312" w:hAnsi="仿宋_GB2312" w:eastAsia="仿宋_GB2312" w:cs="仿宋_GB2312"/>
          <w:sz w:val="32"/>
          <w:szCs w:val="32"/>
        </w:rPr>
        <w:t>在今年单位决算公开中</w:t>
      </w:r>
      <w:r>
        <w:rPr>
          <w:rFonts w:hint="eastAsia" w:ascii="仿宋_GB2312" w:hAnsi="仿宋_GB2312" w:eastAsia="仿宋_GB2312" w:cs="仿宋_GB2312"/>
          <w:sz w:val="32"/>
          <w:szCs w:val="32"/>
          <w:lang w:val="en-US" w:eastAsia="zh-CN"/>
        </w:rPr>
        <w:t>未对预算项目做出</w:t>
      </w:r>
      <w:r>
        <w:rPr>
          <w:rFonts w:hint="eastAsia" w:ascii="仿宋_GB2312" w:hAnsi="仿宋_GB2312" w:eastAsia="仿宋_GB2312" w:cs="仿宋_GB2312"/>
          <w:sz w:val="32"/>
          <w:szCs w:val="32"/>
        </w:rPr>
        <w:t>绩效自评结果。</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pPr>
        <w:adjustRightInd w:val="0"/>
        <w:snapToGrid w:val="0"/>
        <w:spacing w:line="580" w:lineRule="exact"/>
        <w:ind w:firstLine="640" w:firstLineChars="200"/>
        <w:rPr>
          <w:rFonts w:hint="default" w:ascii="Times New Roman" w:hAnsi="Times New Roman" w:eastAsia="仿宋_GB2312" w:cs="Times New Roman"/>
          <w:b/>
          <w:bCs/>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lang w:val="en-US" w:eastAsia="zh-CN"/>
        </w:rPr>
        <w:t>无预算项目，</w:t>
      </w:r>
      <w:r>
        <w:rPr>
          <w:rFonts w:hint="eastAsia" w:ascii="仿宋_GB2312" w:hAnsi="仿宋_GB2312" w:eastAsia="仿宋_GB2312" w:cs="仿宋_GB2312"/>
          <w:sz w:val="32"/>
          <w:szCs w:val="32"/>
        </w:rPr>
        <w:t>在今年单位决算公开中</w:t>
      </w:r>
      <w:r>
        <w:rPr>
          <w:rFonts w:hint="eastAsia" w:ascii="仿宋_GB2312" w:hAnsi="仿宋_GB2312" w:eastAsia="仿宋_GB2312" w:cs="仿宋_GB2312"/>
          <w:sz w:val="32"/>
          <w:szCs w:val="32"/>
          <w:lang w:val="en-US" w:eastAsia="zh-CN"/>
        </w:rPr>
        <w:t>未对预算项目做出</w:t>
      </w:r>
      <w:r>
        <w:rPr>
          <w:rFonts w:hint="eastAsia" w:ascii="仿宋_GB2312" w:hAnsi="仿宋_GB2312" w:eastAsia="仿宋_GB2312" w:cs="仿宋_GB2312"/>
          <w:sz w:val="32"/>
          <w:szCs w:val="32"/>
        </w:rPr>
        <w:t>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1.本单位2024年度政府性基金预算财政拨款收入支出决算表（07表）、国有资本经营预算财政拨款支出决算表（08表）、财政拨款“三公”经费支出决算表（09表）无相应收支，故空表列示。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w:t>
      </w:r>
      <w:r>
        <w:rPr>
          <w:rFonts w:hint="eastAsia" w:ascii="Times New Roman" w:eastAsia="仿宋_GB2312"/>
          <w:b w:val="0"/>
          <w:sz w:val="32"/>
          <w:szCs w:val="32"/>
          <w:lang w:eastAsia="zh-CN"/>
        </w:rPr>
        <w:t>草案</w:t>
      </w:r>
      <w:r>
        <w:rPr>
          <w:rFonts w:ascii="Times New Roman" w:eastAsia="仿宋_GB2312"/>
          <w:b w:val="0"/>
          <w:sz w:val="32"/>
          <w:szCs w:val="32"/>
        </w:rPr>
        <w:t>表格中金额数值应当保留两位小数，数据为四舍五入计算结果，个别数据合计项与分项之和存在小数点后差额，特此说明。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1FA4B98-7C6C-4945-AFA2-9C545AAEFC5E}"/>
  </w:font>
  <w:font w:name="黑体">
    <w:panose1 w:val="02010609060101010101"/>
    <w:charset w:val="86"/>
    <w:family w:val="auto"/>
    <w:pitch w:val="default"/>
    <w:sig w:usb0="800002BF" w:usb1="38CF7CFA" w:usb2="00000016" w:usb3="00000000" w:csb0="00040001" w:csb1="00000000"/>
    <w:embedRegular r:id="rId2" w:fontKey="{DB9E9833-E687-44C6-85FB-F7FC84C757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CF812D4-DA7F-487B-BEF8-32091C0CA44C}"/>
  </w:font>
  <w:font w:name="仿宋">
    <w:panose1 w:val="02010609060101010101"/>
    <w:charset w:val="86"/>
    <w:family w:val="modern"/>
    <w:pitch w:val="default"/>
    <w:sig w:usb0="800002BF" w:usb1="38CF7CFA" w:usb2="00000016" w:usb3="00000000" w:csb0="00040001" w:csb1="00000000"/>
    <w:embedRegular r:id="rId4" w:fontKey="{245B7617-C614-4541-957A-137D29A936D7}"/>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0" w:usb1="00000000" w:usb2="00000000" w:usb3="00000000" w:csb0="00000000" w:csb1="00000000"/>
    <w:embedRegular r:id="rId5" w:fontKey="{F8CC6D97-F22A-4C41-B901-03B89F97EAD8}"/>
  </w:font>
  <w:font w:name="方正小标宋_GBK">
    <w:panose1 w:val="02000000000000000000"/>
    <w:charset w:val="86"/>
    <w:family w:val="script"/>
    <w:pitch w:val="default"/>
    <w:sig w:usb0="00000000" w:usb1="00000000" w:usb2="00000000" w:usb3="00000000" w:csb0="00000000" w:csb1="00000000"/>
    <w:embedRegular r:id="rId6" w:fontKey="{8813C641-41B9-422B-895B-70A368F4C0FE}"/>
  </w:font>
  <w:font w:name="方正小标宋简体">
    <w:panose1 w:val="03000509000000000000"/>
    <w:charset w:val="86"/>
    <w:family w:val="auto"/>
    <w:pitch w:val="default"/>
    <w:sig w:usb0="00000001" w:usb1="080E0000" w:usb2="00000000" w:usb3="00000000" w:csb0="00040000" w:csb1="00000000"/>
    <w:embedRegular r:id="rId7" w:fontKey="{7D7AA4AC-7EFD-41F5-8A1F-FE4AD6E12629}"/>
  </w:font>
  <w:font w:name="仿宋_GB2312">
    <w:panose1 w:val="02010609030101010101"/>
    <w:charset w:val="86"/>
    <w:family w:val="auto"/>
    <w:pitch w:val="default"/>
    <w:sig w:usb0="00000001" w:usb1="080E0000" w:usb2="00000000" w:usb3="00000000" w:csb0="00040000" w:csb1="00000000"/>
    <w:embedRegular r:id="rId8" w:fontKey="{BF89DB49-2591-40C3-A28F-5C3F512C7758}"/>
  </w:font>
  <w:font w:name="ArialUnicodeMS">
    <w:altName w:val="Malgun Gothic"/>
    <w:panose1 w:val="00000000000000000000"/>
    <w:charset w:val="81"/>
    <w:family w:val="auto"/>
    <w:pitch w:val="default"/>
    <w:sig w:usb0="00000000" w:usb1="00000000" w:usb2="00000010" w:usb3="00000000" w:csb0="00080001" w:csb1="00000000"/>
    <w:embedRegular r:id="rId9" w:fontKey="{0F9A27A4-5803-4EE0-808D-CC1E51384168}"/>
  </w:font>
  <w:font w:name="方正仿宋_GB2312">
    <w:altName w:val="仿宋"/>
    <w:panose1 w:val="02000000000000000000"/>
    <w:charset w:val="86"/>
    <w:family w:val="auto"/>
    <w:pitch w:val="default"/>
    <w:sig w:usb0="00000000" w:usb1="00000000" w:usb2="00000000" w:usb3="00000000" w:csb0="00000000" w:csb1="00000000"/>
    <w:embedRegular r:id="rId10" w:fontKey="{175CB026-F3D6-4326-8651-BE43E89DB6B4}"/>
  </w:font>
  <w:font w:name="DengXian-Regular">
    <w:altName w:val="宋体"/>
    <w:panose1 w:val="00000000000000000000"/>
    <w:charset w:val="86"/>
    <w:family w:val="auto"/>
    <w:pitch w:val="default"/>
    <w:sig w:usb0="00000000" w:usb1="00000000" w:usb2="00000010" w:usb3="00000000" w:csb0="00040001" w:csb1="00000000"/>
    <w:embedRegular r:id="rId11" w:fontKey="{B1C3F11E-3932-447E-A3C9-C8DFB5340C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D9998E"/>
    <w:multiLevelType w:val="singleLevel"/>
    <w:tmpl w:val="CAD9998E"/>
    <w:lvl w:ilvl="0" w:tentative="0">
      <w:start w:val="6"/>
      <w:numFmt w:val="chineseCounting"/>
      <w:suff w:val="nothing"/>
      <w:lvlText w:val="%1、"/>
      <w:lvlJc w:val="left"/>
      <w:rPr>
        <w:rFonts w:hint="eastAsia"/>
      </w:rPr>
    </w:lvl>
  </w:abstractNum>
  <w:abstractNum w:abstractNumId="1">
    <w:nsid w:val="1A4D8A36"/>
    <w:multiLevelType w:val="singleLevel"/>
    <w:tmpl w:val="1A4D8A36"/>
    <w:lvl w:ilvl="0" w:tentative="0">
      <w:start w:val="2"/>
      <w:numFmt w:val="decimal"/>
      <w:lvlText w:val="%1."/>
      <w:lvlJc w:val="left"/>
      <w:pPr>
        <w:tabs>
          <w:tab w:val="left" w:pos="312"/>
        </w:tabs>
      </w:p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0EB7A2F"/>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21D61"/>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507A4B"/>
    <w:rsid w:val="0B753AE2"/>
    <w:rsid w:val="0B872454"/>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4401D3"/>
    <w:rsid w:val="136A5C00"/>
    <w:rsid w:val="13B97B08"/>
    <w:rsid w:val="13C527AC"/>
    <w:rsid w:val="14711797"/>
    <w:rsid w:val="147B6F17"/>
    <w:rsid w:val="14CE2BA9"/>
    <w:rsid w:val="14D42061"/>
    <w:rsid w:val="15081C8B"/>
    <w:rsid w:val="15090D5C"/>
    <w:rsid w:val="15CF053D"/>
    <w:rsid w:val="15E0131A"/>
    <w:rsid w:val="15E11DC0"/>
    <w:rsid w:val="16457D9F"/>
    <w:rsid w:val="17223EFF"/>
    <w:rsid w:val="17AA5F28"/>
    <w:rsid w:val="17B713F6"/>
    <w:rsid w:val="184350A0"/>
    <w:rsid w:val="1864735E"/>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A7025"/>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4D0E71"/>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1262DA"/>
    <w:rsid w:val="2A611B0F"/>
    <w:rsid w:val="2AC1762B"/>
    <w:rsid w:val="2AE845D0"/>
    <w:rsid w:val="2B4975FB"/>
    <w:rsid w:val="2B523AD3"/>
    <w:rsid w:val="2B695031"/>
    <w:rsid w:val="2B735A8F"/>
    <w:rsid w:val="2BA7478D"/>
    <w:rsid w:val="2BB038DB"/>
    <w:rsid w:val="2BB761E0"/>
    <w:rsid w:val="2BB812F9"/>
    <w:rsid w:val="2BE35C27"/>
    <w:rsid w:val="2BFA504B"/>
    <w:rsid w:val="2C681F1F"/>
    <w:rsid w:val="2C8608DC"/>
    <w:rsid w:val="2CA4764A"/>
    <w:rsid w:val="2CC42ECA"/>
    <w:rsid w:val="2CDA4349"/>
    <w:rsid w:val="2CDC2518"/>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A53844"/>
    <w:rsid w:val="2FFC7AC2"/>
    <w:rsid w:val="301430AF"/>
    <w:rsid w:val="30630612"/>
    <w:rsid w:val="308E59B0"/>
    <w:rsid w:val="30B10568"/>
    <w:rsid w:val="30E55DD3"/>
    <w:rsid w:val="30E60399"/>
    <w:rsid w:val="31356AA5"/>
    <w:rsid w:val="313E22F0"/>
    <w:rsid w:val="31593645"/>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011E25"/>
    <w:rsid w:val="35277FF8"/>
    <w:rsid w:val="35763460"/>
    <w:rsid w:val="35776F72"/>
    <w:rsid w:val="35997371"/>
    <w:rsid w:val="35DD4D47"/>
    <w:rsid w:val="360134DF"/>
    <w:rsid w:val="360B1E2F"/>
    <w:rsid w:val="360D500F"/>
    <w:rsid w:val="36330424"/>
    <w:rsid w:val="36FE3ABA"/>
    <w:rsid w:val="37072BDE"/>
    <w:rsid w:val="372A070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3FFF1A1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806B6B"/>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249DC"/>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7C87EF3"/>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0A3A9D"/>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2555AE"/>
    <w:rsid w:val="5EA45884"/>
    <w:rsid w:val="5EBD0484"/>
    <w:rsid w:val="5F2C5C7C"/>
    <w:rsid w:val="5F36141C"/>
    <w:rsid w:val="5FC5273F"/>
    <w:rsid w:val="604F6C39"/>
    <w:rsid w:val="60806DF2"/>
    <w:rsid w:val="61072DA5"/>
    <w:rsid w:val="611C0817"/>
    <w:rsid w:val="61224A52"/>
    <w:rsid w:val="61520CCB"/>
    <w:rsid w:val="61851A29"/>
    <w:rsid w:val="620F02D0"/>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180D3D"/>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7BF3D3A"/>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9B0E0C"/>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A05F5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A97169"/>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woshi\Desktop\&#23548;&#20986;&#25968;&#25454;.csv"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2023-2024年度收支总计对比</a:t>
            </a:r>
          </a:p>
        </c:rich>
      </c:tx>
      <c:layout/>
      <c:overlay val="0"/>
      <c:spPr>
        <a:noFill/>
        <a:ln>
          <a:noFill/>
        </a:ln>
        <a:effectLst/>
      </c:spPr>
    </c:title>
    <c:autoTitleDeleted val="0"/>
    <c:plotArea>
      <c:layout/>
      <c:barChart>
        <c:barDir val="col"/>
        <c:grouping val="clustered"/>
        <c:varyColors val="0"/>
        <c:ser>
          <c:idx val="0"/>
          <c:order val="0"/>
          <c:tx>
            <c:strRef>
              <c:f>[导出数据.csv]Sheet1!$C$7</c:f>
              <c:strCache>
                <c:ptCount val="1"/>
                <c:pt idx="0">
                  <c:v>2023</c:v>
                </c:pt>
              </c:strCache>
            </c:strRef>
          </c:tx>
          <c:spPr>
            <a:solidFill>
              <a:schemeClr val="accent1"/>
            </a:solidFill>
            <a:ln>
              <a:noFill/>
            </a:ln>
            <a:effectLst/>
          </c:spPr>
          <c:invertIfNegative val="0"/>
          <c:dLbls>
            <c:delete val="1"/>
          </c:dLbls>
          <c:cat>
            <c:strRef>
              <c:f>[导出数据.csv]Sheet1!$D$6:$E$6</c:f>
              <c:strCache>
                <c:ptCount val="2"/>
                <c:pt idx="0">
                  <c:v>收入（万元）</c:v>
                </c:pt>
                <c:pt idx="1">
                  <c:v>支出（万元）</c:v>
                </c:pt>
              </c:strCache>
            </c:strRef>
          </c:cat>
          <c:val>
            <c:numRef>
              <c:f>[导出数据.csv]Sheet1!$D$7:$E$7</c:f>
              <c:numCache>
                <c:formatCode>0.00_ </c:formatCode>
                <c:ptCount val="2"/>
                <c:pt idx="0">
                  <c:v>96.43</c:v>
                </c:pt>
                <c:pt idx="1">
                  <c:v>96.43</c:v>
                </c:pt>
              </c:numCache>
            </c:numRef>
          </c:val>
        </c:ser>
        <c:ser>
          <c:idx val="1"/>
          <c:order val="1"/>
          <c:tx>
            <c:strRef>
              <c:f>[导出数据.csv]Sheet1!$C$8</c:f>
              <c:strCache>
                <c:ptCount val="1"/>
                <c:pt idx="0">
                  <c:v>2024</c:v>
                </c:pt>
              </c:strCache>
            </c:strRef>
          </c:tx>
          <c:spPr>
            <a:solidFill>
              <a:schemeClr val="accent2"/>
            </a:solidFill>
            <a:ln>
              <a:noFill/>
            </a:ln>
            <a:effectLst/>
          </c:spPr>
          <c:invertIfNegative val="0"/>
          <c:dLbls>
            <c:delete val="1"/>
          </c:dLbls>
          <c:cat>
            <c:strRef>
              <c:f>[导出数据.csv]Sheet1!$D$6:$E$6</c:f>
              <c:strCache>
                <c:ptCount val="2"/>
                <c:pt idx="0">
                  <c:v>收入（万元）</c:v>
                </c:pt>
                <c:pt idx="1">
                  <c:v>支出（万元）</c:v>
                </c:pt>
              </c:strCache>
            </c:strRef>
          </c:cat>
          <c:val>
            <c:numRef>
              <c:f>[导出数据.csv]Sheet1!$D$8:$E$8</c:f>
              <c:numCache>
                <c:formatCode>0.00_ </c:formatCode>
                <c:ptCount val="2"/>
                <c:pt idx="0">
                  <c:v>94.3</c:v>
                </c:pt>
                <c:pt idx="1">
                  <c:v>94.3</c:v>
                </c:pt>
              </c:numCache>
            </c:numRef>
          </c:val>
        </c:ser>
        <c:dLbls>
          <c:showLegendKey val="0"/>
          <c:showVal val="0"/>
          <c:showCatName val="0"/>
          <c:showSerName val="0"/>
          <c:showPercent val="0"/>
          <c:showBubbleSize val="0"/>
        </c:dLbls>
        <c:gapWidth val="219"/>
        <c:overlap val="-27"/>
        <c:axId val="675743272"/>
        <c:axId val="42571321"/>
      </c:barChart>
      <c:catAx>
        <c:axId val="6757432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571321"/>
        <c:crosses val="autoZero"/>
        <c:auto val="1"/>
        <c:lblAlgn val="ctr"/>
        <c:lblOffset val="100"/>
        <c:noMultiLvlLbl val="0"/>
      </c:catAx>
      <c:valAx>
        <c:axId val="42571321"/>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574327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943012.54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943012.54</c:v>
                </c:pt>
                <c:pt idx="1">
                  <c:v>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96.43</c:v>
                </c:pt>
                <c:pt idx="1">
                  <c:v>96.43</c:v>
                </c:pt>
                <c:pt idx="2">
                  <c:v>96.43</c:v>
                </c:pt>
                <c:pt idx="3">
                  <c:v>96.43</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94.3</c:v>
                </c:pt>
                <c:pt idx="1">
                  <c:v>94.3</c:v>
                </c:pt>
                <c:pt idx="2">
                  <c:v>94.3</c:v>
                </c:pt>
                <c:pt idx="3">
                  <c:v>94.3</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97.19</c:v>
                </c:pt>
                <c:pt idx="1">
                  <c:v>97.19</c:v>
                </c:pt>
                <c:pt idx="2">
                  <c:v>97.19</c:v>
                </c:pt>
                <c:pt idx="3">
                  <c:v>97.19</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94.3</c:v>
                </c:pt>
                <c:pt idx="1">
                  <c:v>94.3</c:v>
                </c:pt>
                <c:pt idx="2">
                  <c:v>94.3</c:v>
                </c:pt>
                <c:pt idx="3">
                  <c:v>94.3</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76.98</c:v>
                </c:pt>
                <c:pt idx="1">
                  <c:v>0</c:v>
                </c:pt>
                <c:pt idx="2">
                  <c:v>0</c:v>
                </c:pt>
                <c:pt idx="3">
                  <c:v>0</c:v>
                </c:pt>
                <c:pt idx="4">
                  <c:v>0</c:v>
                </c:pt>
                <c:pt idx="5">
                  <c:v>0</c:v>
                </c:pt>
                <c:pt idx="6">
                  <c:v>0</c:v>
                </c:pt>
                <c:pt idx="7">
                  <c:v>8.03</c:v>
                </c:pt>
                <c:pt idx="8">
                  <c:v>5.18</c:v>
                </c:pt>
                <c:pt idx="9">
                  <c:v>0</c:v>
                </c:pt>
                <c:pt idx="10">
                  <c:v>0</c:v>
                </c:pt>
                <c:pt idx="11">
                  <c:v>0</c:v>
                </c:pt>
                <c:pt idx="12">
                  <c:v>0</c:v>
                </c:pt>
                <c:pt idx="13">
                  <c:v>0</c:v>
                </c:pt>
                <c:pt idx="14">
                  <c:v>0</c:v>
                </c:pt>
                <c:pt idx="15">
                  <c:v>0</c:v>
                </c:pt>
                <c:pt idx="16">
                  <c:v>0</c:v>
                </c:pt>
                <c:pt idx="17">
                  <c:v>0</c:v>
                </c:pt>
                <c:pt idx="18">
                  <c:v>4.11</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7</TotalTime>
  <ScaleCrop>false</ScaleCrop>
  <LinksUpToDate>false</LinksUpToDate>
  <CharactersWithSpaces>2170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Zhang Ling Xiao</cp:lastModifiedBy>
  <cp:lastPrinted>2025-09-19T09:45:00Z</cp:lastPrinted>
  <dcterms:modified xsi:type="dcterms:W3CDTF">2025-09-19T10:25:05Z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