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b/>
          <w:color w:val="000000"/>
          <w:sz w:val="72"/>
        </w:rPr>
      </w:pPr>
    </w:p>
    <w:p>
      <w:pPr>
        <w:jc w:val="center"/>
        <w:rPr>
          <w:rFonts w:ascii="宋体" w:hAnsi="宋体"/>
          <w:b/>
          <w:color w:val="000000"/>
          <w:sz w:val="72"/>
        </w:rPr>
      </w:pPr>
      <w:r>
        <w:rPr>
          <w:rFonts w:ascii="宋体" w:hAnsi="宋体"/>
          <w:b/>
          <w:color w:val="000000"/>
          <w:sz w:val="72"/>
        </w:rPr>
        <w:t>2017年唐山市部门预算（草案）</w:t>
      </w:r>
    </w:p>
    <w:p>
      <w:pPr>
        <w:jc w:val="center"/>
        <w:rPr>
          <w:rFonts w:ascii="宋体" w:hAnsi="宋体"/>
          <w:b/>
          <w:color w:val="000000"/>
          <w:sz w:val="72"/>
        </w:rPr>
      </w:pPr>
    </w:p>
    <w:p>
      <w:pPr>
        <w:jc w:val="center"/>
        <w:rPr>
          <w:rFonts w:ascii="楷体" w:hAnsi="宋体" w:eastAsia="楷体"/>
          <w:b/>
          <w:color w:val="000000"/>
          <w:sz w:val="52"/>
        </w:rPr>
      </w:pPr>
      <w:r>
        <w:rPr>
          <w:rFonts w:ascii="楷体" w:hAnsi="宋体" w:eastAsia="楷体"/>
          <w:b/>
          <w:color w:val="000000"/>
          <w:sz w:val="52"/>
        </w:rPr>
        <w:t>唐山市统计局</w:t>
      </w: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p>
    <w:p>
      <w:pPr>
        <w:jc w:val="center"/>
        <w:rPr>
          <w:rFonts w:ascii="楷体" w:hAnsi="宋体" w:eastAsia="楷体"/>
          <w:b/>
          <w:color w:val="000000"/>
          <w:sz w:val="52"/>
        </w:rPr>
      </w:pPr>
      <w:r>
        <w:rPr>
          <w:rFonts w:ascii="楷体" w:hAnsi="宋体" w:eastAsia="楷体"/>
          <w:b/>
          <w:color w:val="000000"/>
          <w:sz w:val="52"/>
        </w:rPr>
        <w:t>唐山市统计局编制</w:t>
      </w:r>
    </w:p>
    <w:p>
      <w:pPr>
        <w:jc w:val="cente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sectPr>
      </w:pPr>
      <w:r>
        <w:rPr>
          <w:rFonts w:ascii="楷体" w:hAnsi="宋体" w:eastAsia="楷体"/>
          <w:b/>
          <w:color w:val="000000"/>
          <w:sz w:val="52"/>
        </w:rPr>
        <w:t>唐山市财政局审核</w:t>
      </w:r>
    </w:p>
    <w:p>
      <w:pPr>
        <w:jc w:val="center"/>
        <w:rPr>
          <w:rFonts w:ascii="宋体" w:hAnsi="宋体"/>
          <w:b/>
          <w:color w:val="000000"/>
          <w:sz w:val="32"/>
        </w:rPr>
      </w:pPr>
      <w:r>
        <w:rPr>
          <w:rFonts w:ascii="宋体" w:hAnsi="宋体"/>
          <w:b/>
          <w:color w:val="000000"/>
          <w:sz w:val="32"/>
        </w:rPr>
        <w:t>目 录</w:t>
      </w:r>
      <w:r>
        <w:rPr>
          <w:rFonts w:ascii="宋体" w:hAnsi="宋体"/>
          <w:b/>
          <w:color w:val="000000"/>
          <w:sz w:val="32"/>
        </w:rPr>
        <w:fldChar w:fldCharType="begin"/>
      </w:r>
      <w:r>
        <w:rPr>
          <w:rFonts w:ascii="宋体" w:hAnsi="宋体"/>
          <w:b/>
          <w:color w:val="000000"/>
          <w:sz w:val="32"/>
        </w:rPr>
        <w:instrText xml:space="preserve"> TOC \o "1-3" \h \u </w:instrText>
      </w:r>
      <w:r>
        <w:rPr>
          <w:rFonts w:ascii="宋体" w:hAnsi="宋体"/>
          <w:b/>
          <w:color w:val="000000"/>
          <w:sz w:val="32"/>
        </w:rPr>
        <w:fldChar w:fldCharType="separate"/>
      </w:r>
    </w:p>
    <w:p>
      <w:pPr>
        <w:pStyle w:val="9"/>
        <w:tabs>
          <w:tab w:val="right" w:leader="dot" w:pos="8296"/>
        </w:tabs>
        <w:rPr>
          <w:rFonts w:ascii="宋体" w:hAnsi="宋体"/>
          <w:b/>
          <w:color w:val="000000"/>
          <w:sz w:val="32"/>
        </w:rPr>
      </w:pPr>
      <w:r>
        <w:fldChar w:fldCharType="begin"/>
      </w:r>
      <w:r>
        <w:instrText xml:space="preserve">HYPERLINK  \l "_Toc476153802" </w:instrText>
      </w:r>
      <w:r>
        <w:fldChar w:fldCharType="separate"/>
      </w:r>
      <w:r>
        <w:rPr>
          <w:rStyle w:val="12"/>
          <w:rFonts w:hint="eastAsia" w:ascii="宋体" w:hAnsi="宋体"/>
          <w:b/>
          <w:color w:val="000000"/>
          <w:sz w:val="32"/>
          <w:u w:val="none"/>
        </w:rPr>
        <w:t>部</w:t>
      </w:r>
      <w:r>
        <w:rPr>
          <w:rStyle w:val="12"/>
          <w:rFonts w:ascii="宋体" w:hAnsi="宋体"/>
          <w:b/>
          <w:color w:val="000000"/>
          <w:sz w:val="32"/>
          <w:u w:val="none"/>
        </w:rPr>
        <w:t xml:space="preserve"> </w:t>
      </w:r>
      <w:r>
        <w:rPr>
          <w:rStyle w:val="12"/>
          <w:rFonts w:hint="eastAsia" w:ascii="宋体" w:hAnsi="宋体"/>
          <w:b/>
          <w:color w:val="000000"/>
          <w:sz w:val="32"/>
          <w:u w:val="none"/>
        </w:rPr>
        <w:t>门</w:t>
      </w:r>
      <w:r>
        <w:rPr>
          <w:rStyle w:val="12"/>
          <w:rFonts w:ascii="宋体" w:hAnsi="宋体"/>
          <w:b/>
          <w:color w:val="000000"/>
          <w:sz w:val="32"/>
          <w:u w:val="none"/>
        </w:rPr>
        <w:t xml:space="preserve"> </w:t>
      </w:r>
      <w:r>
        <w:rPr>
          <w:rStyle w:val="12"/>
          <w:rFonts w:hint="eastAsia" w:ascii="宋体" w:hAnsi="宋体"/>
          <w:b/>
          <w:color w:val="000000"/>
          <w:sz w:val="32"/>
          <w:u w:val="none"/>
        </w:rPr>
        <w:t>概</w:t>
      </w:r>
      <w:r>
        <w:rPr>
          <w:rStyle w:val="12"/>
          <w:rFonts w:ascii="宋体" w:hAnsi="宋体"/>
          <w:b/>
          <w:color w:val="000000"/>
          <w:sz w:val="32"/>
          <w:u w:val="none"/>
        </w:rPr>
        <w:t xml:space="preserve"> </w:t>
      </w:r>
      <w:r>
        <w:rPr>
          <w:rStyle w:val="12"/>
          <w:rFonts w:hint="eastAsia" w:ascii="宋体" w:hAnsi="宋体"/>
          <w:b/>
          <w:color w:val="000000"/>
          <w:sz w:val="32"/>
          <w:u w:val="none"/>
        </w:rPr>
        <w:t>况</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_Toc476153802 \h </w:instrText>
      </w:r>
      <w:r>
        <w:rPr>
          <w:rFonts w:ascii="宋体" w:hAnsi="宋体"/>
          <w:b/>
          <w:color w:val="000000"/>
          <w:sz w:val="32"/>
        </w:rPr>
        <w:fldChar w:fldCharType="separate"/>
      </w:r>
      <w:r>
        <w:rPr>
          <w:rFonts w:ascii="宋体" w:hAnsi="宋体"/>
          <w:b/>
          <w:color w:val="000000"/>
          <w:sz w:val="32"/>
        </w:rPr>
        <w:t>1</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"_Toc476153803" </w:instrText>
      </w:r>
      <w:r>
        <w:fldChar w:fldCharType="separate"/>
      </w:r>
      <w:r>
        <w:rPr>
          <w:rStyle w:val="12"/>
          <w:rFonts w:hint="eastAsia" w:ascii="宋体" w:hAnsi="宋体"/>
          <w:b/>
          <w:color w:val="000000"/>
          <w:sz w:val="32"/>
          <w:u w:val="none"/>
        </w:rPr>
        <w:t>部门职责</w:t>
      </w:r>
      <w:r>
        <w:rPr>
          <w:rStyle w:val="12"/>
          <w:rFonts w:ascii="宋体" w:hAnsi="宋体"/>
          <w:b/>
          <w:color w:val="000000"/>
          <w:sz w:val="32"/>
          <w:u w:val="none"/>
        </w:rPr>
        <w:t>-</w:t>
      </w:r>
      <w:r>
        <w:rPr>
          <w:rStyle w:val="12"/>
          <w:rFonts w:hint="eastAsia" w:ascii="宋体" w:hAnsi="宋体"/>
          <w:b/>
          <w:color w:val="000000"/>
          <w:sz w:val="32"/>
          <w:u w:val="none"/>
        </w:rPr>
        <w:t>工作活动绩效目标</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_Toc476153803 \h </w:instrText>
      </w:r>
      <w:r>
        <w:rPr>
          <w:rFonts w:ascii="宋体" w:hAnsi="宋体"/>
          <w:b/>
          <w:color w:val="000000"/>
          <w:sz w:val="32"/>
        </w:rPr>
        <w:fldChar w:fldCharType="separate"/>
      </w:r>
      <w:r>
        <w:rPr>
          <w:rFonts w:ascii="宋体" w:hAnsi="宋体"/>
          <w:b/>
          <w:color w:val="000000"/>
          <w:sz w:val="32"/>
        </w:rPr>
        <w:t>10</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"_Toc476153804" </w:instrText>
      </w:r>
      <w:r>
        <w:fldChar w:fldCharType="separate"/>
      </w:r>
      <w:r>
        <w:rPr>
          <w:rStyle w:val="12"/>
          <w:rFonts w:hint="eastAsia" w:ascii="宋体" w:hAnsi="宋体"/>
          <w:b/>
          <w:color w:val="000000"/>
          <w:sz w:val="32"/>
          <w:u w:val="none"/>
        </w:rPr>
        <w:t>部门收支预算总表</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_Toc476153804 \h </w:instrText>
      </w:r>
      <w:r>
        <w:rPr>
          <w:rFonts w:ascii="宋体" w:hAnsi="宋体"/>
          <w:b/>
          <w:color w:val="000000"/>
          <w:sz w:val="32"/>
        </w:rPr>
        <w:fldChar w:fldCharType="separate"/>
      </w:r>
      <w:r>
        <w:rPr>
          <w:rFonts w:ascii="宋体" w:hAnsi="宋体"/>
          <w:b/>
          <w:color w:val="000000"/>
          <w:sz w:val="32"/>
        </w:rPr>
        <w:t>12</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"_Toc476153805" </w:instrText>
      </w:r>
      <w:r>
        <w:fldChar w:fldCharType="separate"/>
      </w:r>
      <w:r>
        <w:rPr>
          <w:rStyle w:val="12"/>
          <w:rFonts w:hint="eastAsia" w:ascii="宋体" w:hAnsi="宋体"/>
          <w:b/>
          <w:color w:val="000000"/>
          <w:sz w:val="32"/>
          <w:u w:val="none"/>
        </w:rPr>
        <w:t>部门基本支出预算</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_Toc476153805 \h </w:instrText>
      </w:r>
      <w:r>
        <w:rPr>
          <w:rFonts w:ascii="宋体" w:hAnsi="宋体"/>
          <w:b/>
          <w:color w:val="000000"/>
          <w:sz w:val="32"/>
        </w:rPr>
        <w:fldChar w:fldCharType="separate"/>
      </w:r>
      <w:r>
        <w:rPr>
          <w:rFonts w:ascii="宋体" w:hAnsi="宋体"/>
          <w:b/>
          <w:color w:val="000000"/>
          <w:sz w:val="32"/>
        </w:rPr>
        <w:t>13</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"_Toc476153806" </w:instrText>
      </w:r>
      <w:r>
        <w:fldChar w:fldCharType="separate"/>
      </w:r>
      <w:r>
        <w:rPr>
          <w:rStyle w:val="12"/>
          <w:rFonts w:hint="eastAsia" w:ascii="宋体" w:hAnsi="宋体"/>
          <w:b/>
          <w:color w:val="000000"/>
          <w:sz w:val="32"/>
          <w:u w:val="none"/>
        </w:rPr>
        <w:t>部门项目支出预算</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_Toc476153806 \h </w:instrText>
      </w:r>
      <w:r>
        <w:rPr>
          <w:rFonts w:ascii="宋体" w:hAnsi="宋体"/>
          <w:b/>
          <w:color w:val="000000"/>
          <w:sz w:val="32"/>
        </w:rPr>
        <w:fldChar w:fldCharType="separate"/>
      </w:r>
      <w:r>
        <w:rPr>
          <w:rFonts w:ascii="宋体" w:hAnsi="宋体"/>
          <w:b/>
          <w:color w:val="000000"/>
          <w:sz w:val="32"/>
        </w:rPr>
        <w:t>18</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"_Toc476153807" </w:instrText>
      </w:r>
      <w:r>
        <w:fldChar w:fldCharType="separate"/>
      </w:r>
      <w:r>
        <w:rPr>
          <w:rStyle w:val="12"/>
          <w:rFonts w:hint="eastAsia" w:ascii="宋体" w:hAnsi="宋体"/>
          <w:b/>
          <w:color w:val="000000"/>
          <w:sz w:val="32"/>
          <w:u w:val="none"/>
        </w:rPr>
        <w:t>部门“三公”及会议培训经费预算</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_Toc476153807 \h </w:instrText>
      </w:r>
      <w:r>
        <w:rPr>
          <w:rFonts w:ascii="宋体" w:hAnsi="宋体"/>
          <w:b/>
          <w:color w:val="000000"/>
          <w:sz w:val="32"/>
        </w:rPr>
        <w:fldChar w:fldCharType="separate"/>
      </w:r>
      <w:r>
        <w:rPr>
          <w:rFonts w:ascii="宋体" w:hAnsi="宋体"/>
          <w:b/>
          <w:color w:val="000000"/>
          <w:sz w:val="32"/>
        </w:rPr>
        <w:t>19</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"_Toc476153808" </w:instrText>
      </w:r>
      <w:r>
        <w:fldChar w:fldCharType="separate"/>
      </w:r>
      <w:r>
        <w:rPr>
          <w:rStyle w:val="12"/>
          <w:rFonts w:hint="eastAsia" w:ascii="宋体" w:hAnsi="宋体"/>
          <w:b/>
          <w:color w:val="000000"/>
          <w:sz w:val="32"/>
          <w:u w:val="none"/>
        </w:rPr>
        <w:t>部门政府采购预算</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_Toc476153808 \h </w:instrText>
      </w:r>
      <w:r>
        <w:rPr>
          <w:rFonts w:ascii="宋体" w:hAnsi="宋体"/>
          <w:b/>
          <w:color w:val="000000"/>
          <w:sz w:val="32"/>
        </w:rPr>
        <w:fldChar w:fldCharType="separate"/>
      </w:r>
      <w:r>
        <w:rPr>
          <w:rFonts w:ascii="宋体" w:hAnsi="宋体"/>
          <w:b/>
          <w:color w:val="000000"/>
          <w:sz w:val="32"/>
        </w:rPr>
        <w:t>20</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"_Toc476153809" </w:instrText>
      </w:r>
      <w:r>
        <w:fldChar w:fldCharType="separate"/>
      </w:r>
      <w:r>
        <w:rPr>
          <w:rStyle w:val="12"/>
          <w:rFonts w:hint="eastAsia" w:ascii="宋体" w:hAnsi="宋体"/>
          <w:b/>
          <w:color w:val="000000"/>
          <w:sz w:val="32"/>
          <w:u w:val="none"/>
        </w:rPr>
        <w:t>部门组织政府非税收入预算明细表</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_Toc476153809 \h </w:instrText>
      </w:r>
      <w:r>
        <w:rPr>
          <w:rFonts w:ascii="宋体" w:hAnsi="宋体"/>
          <w:b/>
          <w:color w:val="000000"/>
          <w:sz w:val="32"/>
        </w:rPr>
        <w:fldChar w:fldCharType="separate"/>
      </w:r>
      <w:r>
        <w:rPr>
          <w:rFonts w:ascii="宋体" w:hAnsi="宋体"/>
          <w:b/>
          <w:color w:val="000000"/>
          <w:sz w:val="32"/>
        </w:rPr>
        <w:t>21</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"_Toc476153810" </w:instrText>
      </w:r>
      <w:r>
        <w:fldChar w:fldCharType="separate"/>
      </w:r>
      <w:r>
        <w:rPr>
          <w:rStyle w:val="12"/>
          <w:rFonts w:hint="eastAsia" w:ascii="宋体" w:hAnsi="宋体"/>
          <w:b/>
          <w:color w:val="000000"/>
          <w:sz w:val="32"/>
          <w:u w:val="none"/>
        </w:rPr>
        <w:t>部门基本情况</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_Toc476153810 \h </w:instrText>
      </w:r>
      <w:r>
        <w:rPr>
          <w:rFonts w:ascii="宋体" w:hAnsi="宋体"/>
          <w:b/>
          <w:color w:val="000000"/>
          <w:sz w:val="32"/>
        </w:rPr>
        <w:fldChar w:fldCharType="separate"/>
      </w:r>
      <w:r>
        <w:rPr>
          <w:rFonts w:ascii="宋体" w:hAnsi="宋体"/>
          <w:b/>
          <w:color w:val="000000"/>
          <w:sz w:val="32"/>
        </w:rPr>
        <w:t>22</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"_Toc476153811" </w:instrText>
      </w:r>
      <w:r>
        <w:fldChar w:fldCharType="separate"/>
      </w:r>
      <w:r>
        <w:rPr>
          <w:rStyle w:val="12"/>
          <w:rFonts w:hint="eastAsia" w:ascii="宋体" w:hAnsi="宋体"/>
          <w:b/>
          <w:color w:val="000000"/>
          <w:sz w:val="32"/>
          <w:u w:val="none"/>
        </w:rPr>
        <w:t>部门专项公用经费项目支出一览表</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_Toc476153811 \h </w:instrText>
      </w:r>
      <w:r>
        <w:rPr>
          <w:rFonts w:ascii="宋体" w:hAnsi="宋体"/>
          <w:b/>
          <w:color w:val="000000"/>
          <w:sz w:val="32"/>
        </w:rPr>
        <w:fldChar w:fldCharType="separate"/>
      </w:r>
      <w:r>
        <w:rPr>
          <w:rFonts w:ascii="宋体" w:hAnsi="宋体"/>
          <w:b/>
          <w:color w:val="000000"/>
          <w:sz w:val="32"/>
        </w:rPr>
        <w:t>23</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"_Toc476153812" </w:instrText>
      </w:r>
      <w:r>
        <w:fldChar w:fldCharType="separate"/>
      </w:r>
      <w:r>
        <w:rPr>
          <w:rStyle w:val="12"/>
          <w:rFonts w:hint="eastAsia" w:ascii="宋体" w:hAnsi="宋体"/>
          <w:b/>
          <w:color w:val="000000"/>
          <w:sz w:val="32"/>
          <w:u w:val="none"/>
        </w:rPr>
        <w:t>部门专项项目支出一览表</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_Toc476153812 \h </w:instrText>
      </w:r>
      <w:r>
        <w:rPr>
          <w:rFonts w:ascii="宋体" w:hAnsi="宋体"/>
          <w:b/>
          <w:color w:val="000000"/>
          <w:sz w:val="32"/>
        </w:rPr>
        <w:fldChar w:fldCharType="separate"/>
      </w:r>
      <w:r>
        <w:rPr>
          <w:rFonts w:ascii="宋体" w:hAnsi="宋体"/>
          <w:b/>
          <w:color w:val="000000"/>
          <w:sz w:val="32"/>
        </w:rPr>
        <w:t>25</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"_Toc476153813" </w:instrText>
      </w:r>
      <w:r>
        <w:fldChar w:fldCharType="separate"/>
      </w:r>
      <w:r>
        <w:rPr>
          <w:rStyle w:val="12"/>
          <w:rFonts w:hint="eastAsia" w:ascii="宋体" w:hAnsi="宋体"/>
          <w:b/>
          <w:color w:val="000000"/>
          <w:sz w:val="32"/>
          <w:u w:val="none"/>
        </w:rPr>
        <w:t>一、唐山市统计局收支预算安排</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_Toc476153813 \h </w:instrText>
      </w:r>
      <w:r>
        <w:rPr>
          <w:rFonts w:ascii="宋体" w:hAnsi="宋体"/>
          <w:b/>
          <w:color w:val="000000"/>
          <w:sz w:val="32"/>
        </w:rPr>
        <w:fldChar w:fldCharType="separate"/>
      </w:r>
      <w:r>
        <w:rPr>
          <w:rFonts w:ascii="宋体" w:hAnsi="宋体"/>
          <w:b/>
          <w:color w:val="000000"/>
          <w:sz w:val="32"/>
        </w:rPr>
        <w:t>26</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"_Toc476153814" </w:instrText>
      </w:r>
      <w:r>
        <w:fldChar w:fldCharType="separate"/>
      </w:r>
      <w:r>
        <w:rPr>
          <w:rStyle w:val="12"/>
          <w:rFonts w:hint="eastAsia" w:ascii="宋体" w:hAnsi="宋体"/>
          <w:b/>
          <w:color w:val="000000"/>
          <w:sz w:val="32"/>
          <w:u w:val="none"/>
        </w:rPr>
        <w:t>二、唐山市统计局（参公</w:t>
      </w:r>
      <w:r>
        <w:rPr>
          <w:rStyle w:val="12"/>
          <w:rFonts w:ascii="宋体" w:hAnsi="宋体"/>
          <w:b/>
          <w:color w:val="000000"/>
          <w:sz w:val="32"/>
          <w:u w:val="none"/>
        </w:rPr>
        <w:t>2</w:t>
      </w:r>
      <w:r>
        <w:rPr>
          <w:rStyle w:val="12"/>
          <w:rFonts w:hint="eastAsia" w:ascii="宋体" w:hAnsi="宋体"/>
          <w:b/>
          <w:color w:val="000000"/>
          <w:sz w:val="32"/>
          <w:u w:val="none"/>
        </w:rPr>
        <w:t>户）收支预算安排</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_Toc476153814 \h </w:instrText>
      </w:r>
      <w:r>
        <w:rPr>
          <w:rFonts w:ascii="宋体" w:hAnsi="宋体"/>
          <w:b/>
          <w:color w:val="000000"/>
          <w:sz w:val="32"/>
        </w:rPr>
        <w:fldChar w:fldCharType="separate"/>
      </w:r>
      <w:r>
        <w:rPr>
          <w:rFonts w:ascii="宋体" w:hAnsi="宋体"/>
          <w:b/>
          <w:color w:val="000000"/>
          <w:sz w:val="32"/>
        </w:rPr>
        <w:t>47</w:t>
      </w:r>
      <w:r>
        <w:rPr>
          <w:rFonts w:ascii="宋体" w:hAnsi="宋体"/>
          <w:b/>
          <w:color w:val="000000"/>
          <w:sz w:val="32"/>
        </w:rPr>
        <w:fldChar w:fldCharType="end"/>
      </w:r>
      <w:r>
        <w:fldChar w:fldCharType="end"/>
      </w:r>
    </w:p>
    <w:p>
      <w:pPr>
        <w:pStyle w:val="9"/>
        <w:tabs>
          <w:tab w:val="right" w:leader="dot" w:pos="8296"/>
        </w:tabs>
        <w:rPr>
          <w:rFonts w:ascii="宋体" w:hAnsi="宋体"/>
          <w:b/>
          <w:color w:val="000000"/>
          <w:sz w:val="32"/>
        </w:rPr>
      </w:pPr>
      <w:r>
        <w:fldChar w:fldCharType="begin"/>
      </w:r>
      <w:r>
        <w:instrText xml:space="preserve">HYPERLINK  \l "_Toc476153815" </w:instrText>
      </w:r>
      <w:r>
        <w:fldChar w:fldCharType="separate"/>
      </w:r>
      <w:r>
        <w:rPr>
          <w:rStyle w:val="12"/>
          <w:rFonts w:hint="eastAsia" w:ascii="宋体" w:hAnsi="宋体"/>
          <w:b/>
          <w:color w:val="000000"/>
          <w:sz w:val="32"/>
          <w:u w:val="none"/>
        </w:rPr>
        <w:t>三、唐山市统计局数据管理中心收支预算安排</w:t>
      </w:r>
      <w:r>
        <w:rPr>
          <w:rFonts w:ascii="宋体" w:hAnsi="宋体"/>
          <w:b/>
          <w:color w:val="000000"/>
          <w:sz w:val="32"/>
        </w:rPr>
        <w:tab/>
      </w:r>
      <w:r>
        <w:rPr>
          <w:rFonts w:ascii="宋体" w:hAnsi="宋体"/>
          <w:b/>
          <w:color w:val="000000"/>
          <w:sz w:val="32"/>
        </w:rPr>
        <w:fldChar w:fldCharType="begin"/>
      </w:r>
      <w:r>
        <w:rPr>
          <w:rFonts w:ascii="宋体" w:hAnsi="宋体"/>
          <w:b/>
          <w:color w:val="000000"/>
          <w:sz w:val="32"/>
        </w:rPr>
        <w:instrText xml:space="preserve"> PAGEREF _Toc476153815 \h </w:instrText>
      </w:r>
      <w:r>
        <w:rPr>
          <w:rFonts w:ascii="宋体" w:hAnsi="宋体"/>
          <w:b/>
          <w:color w:val="000000"/>
          <w:sz w:val="32"/>
        </w:rPr>
        <w:fldChar w:fldCharType="separate"/>
      </w:r>
      <w:r>
        <w:rPr>
          <w:rFonts w:ascii="宋体" w:hAnsi="宋体"/>
          <w:b/>
          <w:color w:val="000000"/>
          <w:sz w:val="32"/>
        </w:rPr>
        <w:t>75</w:t>
      </w:r>
      <w:r>
        <w:rPr>
          <w:rFonts w:ascii="宋体" w:hAnsi="宋体"/>
          <w:b/>
          <w:color w:val="000000"/>
          <w:sz w:val="32"/>
        </w:rPr>
        <w:fldChar w:fldCharType="end"/>
      </w:r>
      <w:r>
        <w:fldChar w:fldCharType="end"/>
      </w:r>
    </w:p>
    <w:p>
      <w:pPr>
        <w:jc w:val="center"/>
        <w:sectPr>
          <w:pgSz w:w="11906" w:h="16838"/>
          <w:pgMar w:top="1440" w:right="1800" w:bottom="1440" w:left="1800" w:header="851" w:footer="992" w:gutter="0"/>
          <w:cols w:space="720" w:num="1"/>
          <w:docGrid w:type="lines" w:linePitch="312"/>
        </w:sectPr>
      </w:pPr>
      <w:r>
        <w:rPr>
          <w:rFonts w:ascii="宋体" w:hAnsi="宋体"/>
          <w:b/>
          <w:color w:val="000000"/>
          <w:sz w:val="32"/>
        </w:rPr>
        <w:fldChar w:fldCharType="end"/>
      </w:r>
    </w:p>
    <w:p>
      <w:pPr>
        <w:pStyle w:val="2"/>
        <w:jc w:val="center"/>
      </w:pPr>
      <w:bookmarkStart w:id="0" w:name="_Toc476153802"/>
      <w:r>
        <w:t>部 门 概 况</w:t>
      </w:r>
      <w:bookmarkEnd w:id="0"/>
    </w:p>
    <w:p>
      <w:pPr>
        <w:jc w:val="left"/>
        <w:rPr>
          <w:rFonts w:ascii="宋体" w:hAnsi="宋体"/>
          <w:b/>
          <w:color w:val="000000"/>
          <w:sz w:val="28"/>
        </w:rPr>
      </w:pPr>
      <w:r>
        <w:rPr>
          <w:rFonts w:ascii="宋体" w:hAnsi="宋体"/>
          <w:b/>
          <w:color w:val="000000"/>
          <w:sz w:val="28"/>
        </w:rPr>
        <w:t>一、唐山市统计局主要职责</w:t>
      </w:r>
    </w:p>
    <w:p>
      <w:pPr>
        <w:jc w:val="left"/>
        <w:rPr>
          <w:rFonts w:ascii="仿宋" w:hAnsi="宋体" w:eastAsia="仿宋"/>
          <w:color w:val="000000"/>
          <w:sz w:val="28"/>
        </w:rPr>
      </w:pPr>
      <w:r>
        <w:rPr>
          <w:rFonts w:hint="eastAsia" w:ascii="仿宋" w:hAnsi="宋体" w:eastAsia="仿宋"/>
          <w:color w:val="000000"/>
          <w:sz w:val="28"/>
        </w:rPr>
        <w:t xml:space="preserve">     </w:t>
      </w:r>
      <w:r>
        <w:rPr>
          <w:rFonts w:ascii="仿宋" w:hAnsi="宋体" w:eastAsia="仿宋"/>
          <w:color w:val="000000"/>
          <w:sz w:val="28"/>
        </w:rPr>
        <w:t>根据《唐山市统计局职能配置、内设机构和人员编制方案》规定，唐山市统计局的主要职责是：</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ascii="宋体" w:hAnsi="Times New Roman" w:cs="宋体"/>
          <w:kern w:val="0"/>
          <w:szCs w:val="21"/>
        </w:rPr>
        <w:t>1</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依照国家和省有关法律、法规和政策、计划，制定并实施统计工作规章制度、统计现代化建设规划和统计调查计划；组织领导和监督检查市内各县（市）、区、场、各部门统计和国民经济核算工作，监督检查统计法律、法规实施情况。</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ascii="宋体" w:hAnsi="Times New Roman" w:cs="宋体"/>
          <w:kern w:val="0"/>
          <w:szCs w:val="21"/>
        </w:rPr>
        <w:t>2</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贯彻执行国家和省国民经济核算体系、统计指标体系和基本统计制度；组织、协调全市统计工作和国民经济核算工作；统一组织、管理全市统计报表工作；制定全市统计调查标准和统计调查制度；组织管理、审批各部门、各县（市）区统计调查项目（包括社会和涉外调查）、调查计划、调查方案；组织管理全市统计登记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ascii="宋体" w:hAnsi="Times New Roman" w:cs="宋体"/>
          <w:kern w:val="0"/>
          <w:szCs w:val="21"/>
        </w:rPr>
        <w:t>3</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组织完成国家和省部署的普查任务；研究提出重大市情市力普查和抽样调查计划，并组织实施；组织协调各县（市）、区、场、各部门社会经济调查，汇总、整理全市基本统计资料；对国民经济、科技进步和社会发展等情况进行统计分析、预测、监督和考核，向市委、市政府及有关部门提供统计信息和咨询建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ascii="宋体" w:hAnsi="Times New Roman" w:cs="宋体"/>
          <w:kern w:val="0"/>
          <w:szCs w:val="21"/>
        </w:rPr>
        <w:t>4</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统一核定、管理、公布、出版全市性的基本统计资料，定期发布全市国民经济和社会发展情况的统计信息。</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ascii="宋体" w:hAnsi="Times New Roman" w:cs="宋体"/>
          <w:kern w:val="0"/>
          <w:szCs w:val="21"/>
        </w:rPr>
        <w:t>5</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管理全市统计信息自动化系统和统计数据库体系；管理全市统计数据库网络。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ascii="宋体" w:hAnsi="Times New Roman" w:cs="宋体"/>
          <w:kern w:val="0"/>
          <w:szCs w:val="21"/>
        </w:rPr>
        <w:t>6</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组织管理统计人员持证上岗及培训教育，协助有关部门组织管理统计专业技术资格考试和专业技术职务评聘工作。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pPr>
      <w:r>
        <w:rPr>
          <w:rFonts w:ascii="宋体" w:hAnsi="Times New Roman" w:cs="宋体"/>
          <w:kern w:val="0"/>
          <w:szCs w:val="21"/>
        </w:rPr>
        <w:t>7</w:t>
      </w:r>
      <w:r>
        <w:rPr>
          <w:rFonts w:hint="eastAsia" w:ascii="宋体" w:hAnsi="Times New Roman" w:cs="宋体"/>
          <w:kern w:val="0"/>
          <w:szCs w:val="21"/>
        </w:rPr>
        <w:t>、</w:t>
      </w:r>
      <w:r>
        <w:rPr>
          <w:rFonts w:hint="eastAsia" w:ascii="宋体" w:hAnsi="宋体" w:cs="宋体"/>
          <w:kern w:val="0"/>
          <w:szCs w:val="21"/>
        </w:rPr>
        <w:t>负责全市各部门各单位统计工作业务指导，开展统计工作和统计科学的学术交流合作；规划、协调全市社会经济统计信息咨询服务行业，积极培育和发展信息咨询服务市场。</w:t>
      </w:r>
    </w:p>
    <w:p>
      <w:pPr>
        <w:jc w:val="left"/>
        <w:rPr>
          <w:rFonts w:ascii="宋体" w:hAnsi="宋体"/>
          <w:b/>
          <w:color w:val="000000"/>
          <w:sz w:val="28"/>
        </w:rPr>
      </w:pPr>
      <w:r>
        <w:rPr>
          <w:rFonts w:ascii="宋体" w:hAnsi="宋体"/>
          <w:b/>
          <w:color w:val="000000"/>
          <w:sz w:val="28"/>
        </w:rPr>
        <w:t>二、唐山市统计局2017年主要任务及目标规划</w:t>
      </w:r>
    </w:p>
    <w:p>
      <w:pPr>
        <w:jc w:val="left"/>
        <w:rPr>
          <w:rFonts w:ascii="仿宋" w:hAnsi="仿宋" w:eastAsia="仿宋"/>
          <w:color w:val="000000"/>
          <w:sz w:val="28"/>
        </w:rPr>
      </w:pPr>
      <w:r>
        <w:rPr>
          <w:rFonts w:hint="eastAsia" w:ascii="仿宋" w:hAnsi="仿宋" w:eastAsia="仿宋"/>
          <w:color w:val="000000"/>
          <w:sz w:val="28"/>
        </w:rPr>
        <w:t xml:space="preserve">    </w:t>
      </w:r>
      <w:r>
        <w:rPr>
          <w:rFonts w:ascii="仿宋" w:hAnsi="仿宋" w:eastAsia="仿宋"/>
          <w:color w:val="000000"/>
          <w:sz w:val="28"/>
        </w:rPr>
        <w:t>2017年，唐山市统计局将重点做好以下工作：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Times New Roman" w:cs="宋体"/>
          <w:b/>
          <w:bCs/>
          <w:kern w:val="0"/>
          <w:szCs w:val="21"/>
        </w:rPr>
      </w:pPr>
      <w:r>
        <w:rPr>
          <w:rFonts w:hint="eastAsia" w:ascii="宋体" w:hAnsi="Times New Roman" w:cs="宋体"/>
          <w:b/>
          <w:bCs/>
          <w:kern w:val="0"/>
          <w:szCs w:val="21"/>
        </w:rPr>
        <w:t>2017年主要任务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1</w:t>
      </w:r>
      <w:r>
        <w:rPr>
          <w:rFonts w:hint="eastAsia" w:ascii="宋体" w:hAnsi="Times New Roman" w:cs="宋体"/>
          <w:kern w:val="0"/>
          <w:szCs w:val="21"/>
        </w:rPr>
        <w:t>、</w:t>
      </w:r>
      <w:r>
        <w:rPr>
          <w:rFonts w:hint="eastAsia" w:ascii="宋体" w:hAnsi="宋体" w:cs="宋体"/>
          <w:kern w:val="0"/>
          <w:szCs w:val="21"/>
        </w:rPr>
        <w:t>依照国家和省有关法律、法规和政策、计划，制定并实施统计工作规章制度、统计现代化建设规划和统计调查计划；组织领导和监督检查市内各县（市）、区、场、各部门统计和国民经济核算工作，监督检查统计法律、法规实施情况。</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2</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贯彻执行国家和省国民经济核算体系、统计指标体系和基本统计制度；组织、协调全市统计工作和国民经济核算工作；统一组织、管理全市统计报表工作；制定全市统计调查标准和统计调查制度；组织管理、审批各部门、各县（市）区统计调查项目（包括社会和涉外调查）、调查计划、调查方案；组织管理全市统计登记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3</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组织完成国家和省部署的普查任务；研究提出重大市情市力普查和抽样调查计划，并组织实施；组织协调各县（市）、区、场、各部门社会经济调查，汇总、整理全市基本统计资料；对国民经济、科技进步和社会发展等情况进行统计分析、预测、监督和考核，向市委、市政府及有关部门提供统计信息和咨询建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4</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统一核定、管理、公布、出版全市性的基本统计资料，定期发布全市国民经济和社会发展情况的统计信息。</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5</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管理全市统计信息自动化系统和统计数据库体系；管理全市统计数据库网络。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6</w:t>
      </w:r>
      <w:r>
        <w:rPr>
          <w:rFonts w:hint="eastAsia" w:ascii="宋体" w:hAnsi="Times New Roman" w:cs="宋体"/>
          <w:kern w:val="0"/>
          <w:szCs w:val="21"/>
        </w:rPr>
        <w:t>、</w:t>
      </w:r>
      <w:r>
        <w:rPr>
          <w:rFonts w:hint="eastAsia" w:ascii="宋体" w:hAnsi="宋体" w:cs="宋体"/>
          <w:kern w:val="0"/>
          <w:szCs w:val="21"/>
        </w:rPr>
        <w:t>组织管理统计人员持证上岗及培训教育，协助有关部门组织管理统计专业技术资格考试和专业技术职务评聘工作。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kern w:val="0"/>
          <w:szCs w:val="21"/>
        </w:rPr>
      </w:pPr>
      <w:r>
        <w:rPr>
          <w:rFonts w:ascii="宋体" w:hAnsi="Times New Roman" w:cs="宋体"/>
          <w:kern w:val="0"/>
          <w:szCs w:val="21"/>
        </w:rPr>
        <w:t>7</w:t>
      </w:r>
      <w:r>
        <w:rPr>
          <w:rFonts w:hint="eastAsia" w:ascii="宋体" w:hAnsi="Times New Roman" w:cs="宋体"/>
          <w:kern w:val="0"/>
          <w:szCs w:val="21"/>
        </w:rPr>
        <w:t>、</w:t>
      </w:r>
      <w:r>
        <w:rPr>
          <w:rFonts w:hint="eastAsia" w:ascii="宋体" w:hAnsi="宋体" w:cs="宋体"/>
          <w:kern w:val="0"/>
          <w:szCs w:val="21"/>
        </w:rPr>
        <w:t>负责全市各部门各单位统计工作业务指导，开展统计工作和统计科学的学术交流合作；规划、协调全市社会经济统计信息咨询服务行业，积极培育和发展信息咨询服务市场。</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b/>
          <w:bCs/>
          <w:kern w:val="0"/>
          <w:szCs w:val="21"/>
        </w:rPr>
      </w:pPr>
      <w:r>
        <w:rPr>
          <w:rFonts w:ascii="宋体" w:hAnsi="Times New Roman" w:cs="宋体"/>
          <w:b/>
          <w:bCs/>
          <w:kern w:val="0"/>
          <w:szCs w:val="21"/>
        </w:rPr>
        <w:t>201</w:t>
      </w:r>
      <w:r>
        <w:rPr>
          <w:rFonts w:hint="eastAsia" w:ascii="宋体" w:hAnsi="Times New Roman" w:cs="宋体"/>
          <w:b/>
          <w:bCs/>
          <w:kern w:val="0"/>
          <w:szCs w:val="21"/>
        </w:rPr>
        <w:t>7</w:t>
      </w:r>
      <w:r>
        <w:rPr>
          <w:rFonts w:hint="eastAsia" w:ascii="宋体" w:hAnsi="宋体" w:cs="宋体"/>
          <w:b/>
          <w:bCs/>
          <w:kern w:val="0"/>
          <w:szCs w:val="21"/>
        </w:rPr>
        <w:t>年目标规划</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201</w:t>
      </w:r>
      <w:r>
        <w:rPr>
          <w:rFonts w:hint="eastAsia" w:ascii="宋体" w:hAnsi="Times New Roman" w:cs="宋体"/>
          <w:kern w:val="0"/>
          <w:szCs w:val="21"/>
        </w:rPr>
        <w:t>7</w:t>
      </w:r>
      <w:r>
        <w:rPr>
          <w:rFonts w:hint="eastAsia" w:ascii="宋体" w:hAnsi="宋体" w:cs="宋体"/>
          <w:kern w:val="0"/>
          <w:szCs w:val="21"/>
        </w:rPr>
        <w:t>年，全市统计工作的任务将更加艰巨繁重，我们一定认真按照市委、市政府的一系列部署，牢牢把握</w:t>
      </w:r>
      <w:r>
        <w:rPr>
          <w:rFonts w:ascii="宋体" w:hAnsi="宋体" w:cs="宋体"/>
          <w:kern w:val="0"/>
          <w:szCs w:val="21"/>
        </w:rPr>
        <w:t xml:space="preserve"> </w:t>
      </w:r>
      <w:r>
        <w:rPr>
          <w:rFonts w:hint="eastAsia" w:ascii="宋体" w:hAnsi="宋体" w:cs="宋体"/>
          <w:kern w:val="0"/>
          <w:szCs w:val="21"/>
        </w:rPr>
        <w:t>推进科学统计、服务科学发展</w:t>
      </w:r>
      <w:r>
        <w:rPr>
          <w:rFonts w:ascii="宋体" w:hAnsi="宋体" w:cs="宋体"/>
          <w:kern w:val="0"/>
          <w:szCs w:val="21"/>
        </w:rPr>
        <w:t xml:space="preserve"> </w:t>
      </w:r>
      <w:r>
        <w:rPr>
          <w:rFonts w:hint="eastAsia" w:ascii="宋体" w:hAnsi="宋体" w:cs="宋体"/>
          <w:kern w:val="0"/>
          <w:szCs w:val="21"/>
        </w:rPr>
        <w:t>的主题，以推进科学统计为主线，大力开展</w:t>
      </w:r>
      <w:r>
        <w:rPr>
          <w:rFonts w:ascii="宋体" w:hAnsi="宋体" w:cs="宋体"/>
          <w:kern w:val="0"/>
          <w:szCs w:val="21"/>
        </w:rPr>
        <w:t xml:space="preserve"> </w:t>
      </w:r>
      <w:r>
        <w:rPr>
          <w:rFonts w:hint="eastAsia" w:ascii="宋体" w:hAnsi="宋体" w:cs="宋体"/>
          <w:kern w:val="0"/>
          <w:szCs w:val="21"/>
        </w:rPr>
        <w:t>改革创优提质年</w:t>
      </w:r>
      <w:r>
        <w:rPr>
          <w:rFonts w:ascii="宋体" w:hAnsi="宋体" w:cs="宋体"/>
          <w:kern w:val="0"/>
          <w:szCs w:val="21"/>
        </w:rPr>
        <w:t xml:space="preserve"> </w:t>
      </w:r>
      <w:r>
        <w:rPr>
          <w:rFonts w:hint="eastAsia" w:ascii="宋体" w:hAnsi="宋体" w:cs="宋体"/>
          <w:kern w:val="0"/>
          <w:szCs w:val="21"/>
        </w:rPr>
        <w:t>活动，更好地发挥</w:t>
      </w:r>
      <w:r>
        <w:rPr>
          <w:rFonts w:ascii="宋体" w:hAnsi="宋体" w:cs="宋体"/>
          <w:kern w:val="0"/>
          <w:szCs w:val="21"/>
        </w:rPr>
        <w:t xml:space="preserve"> </w:t>
      </w:r>
      <w:r>
        <w:rPr>
          <w:rFonts w:hint="eastAsia" w:ascii="宋体" w:hAnsi="宋体" w:cs="宋体"/>
          <w:kern w:val="0"/>
          <w:szCs w:val="21"/>
        </w:rPr>
        <w:t>导航仪</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数据库</w:t>
      </w:r>
      <w:r>
        <w:rPr>
          <w:rFonts w:ascii="宋体" w:hAnsi="宋体" w:cs="宋体"/>
          <w:kern w:val="0"/>
          <w:szCs w:val="21"/>
        </w:rPr>
        <w:t xml:space="preserve"> </w:t>
      </w:r>
      <w:r>
        <w:rPr>
          <w:rFonts w:hint="eastAsia" w:ascii="宋体" w:hAnsi="宋体" w:cs="宋体"/>
          <w:kern w:val="0"/>
          <w:szCs w:val="21"/>
        </w:rPr>
        <w:t>和</w:t>
      </w:r>
      <w:r>
        <w:rPr>
          <w:rFonts w:ascii="宋体" w:hAnsi="宋体" w:cs="宋体"/>
          <w:kern w:val="0"/>
          <w:szCs w:val="21"/>
        </w:rPr>
        <w:t xml:space="preserve"> </w:t>
      </w:r>
      <w:r>
        <w:rPr>
          <w:rFonts w:hint="eastAsia" w:ascii="宋体" w:hAnsi="宋体" w:cs="宋体"/>
          <w:kern w:val="0"/>
          <w:szCs w:val="21"/>
        </w:rPr>
        <w:t>参谋部</w:t>
      </w:r>
      <w:r>
        <w:rPr>
          <w:rFonts w:ascii="宋体" w:hAnsi="宋体" w:cs="宋体"/>
          <w:kern w:val="0"/>
          <w:szCs w:val="21"/>
        </w:rPr>
        <w:t xml:space="preserve"> </w:t>
      </w:r>
      <w:r>
        <w:rPr>
          <w:rFonts w:hint="eastAsia" w:ascii="宋体" w:hAnsi="宋体" w:cs="宋体"/>
          <w:kern w:val="0"/>
          <w:szCs w:val="21"/>
        </w:rPr>
        <w:t>的作用，为唐山科学发展提供坚强有力的统计保障。重点抓好以</w:t>
      </w:r>
      <w:r>
        <w:rPr>
          <w:rFonts w:ascii="宋体" w:hAnsi="宋体" w:cs="宋体"/>
          <w:kern w:val="0"/>
          <w:szCs w:val="21"/>
        </w:rPr>
        <w:t xml:space="preserve"> </w:t>
      </w:r>
      <w:r>
        <w:rPr>
          <w:rFonts w:hint="eastAsia" w:ascii="宋体" w:hAnsi="宋体" w:cs="宋体"/>
          <w:kern w:val="0"/>
          <w:szCs w:val="21"/>
        </w:rPr>
        <w:t>七化</w:t>
      </w:r>
      <w:r>
        <w:rPr>
          <w:rFonts w:ascii="宋体" w:hAnsi="宋体" w:cs="宋体"/>
          <w:kern w:val="0"/>
          <w:szCs w:val="21"/>
        </w:rPr>
        <w:t xml:space="preserve"> </w:t>
      </w:r>
      <w:r>
        <w:rPr>
          <w:rFonts w:hint="eastAsia" w:ascii="宋体" w:hAnsi="宋体" w:cs="宋体"/>
          <w:kern w:val="0"/>
          <w:szCs w:val="21"/>
        </w:rPr>
        <w:t>为重点的科学统计体系建设和各项调查任务：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kern w:val="0"/>
          <w:szCs w:val="21"/>
        </w:rPr>
      </w:pPr>
      <w:r>
        <w:rPr>
          <w:rFonts w:hint="eastAsia" w:ascii="宋体" w:hAnsi="宋体" w:cs="宋体"/>
          <w:kern w:val="0"/>
          <w:szCs w:val="21"/>
        </w:rPr>
        <w:t>1、建立规范化的</w:t>
      </w:r>
      <w:r>
        <w:rPr>
          <w:rFonts w:ascii="宋体" w:hAnsi="宋体" w:cs="宋体"/>
          <w:kern w:val="0"/>
          <w:szCs w:val="21"/>
        </w:rPr>
        <w:t xml:space="preserve"> </w:t>
      </w:r>
      <w:r>
        <w:rPr>
          <w:rFonts w:hint="eastAsia" w:ascii="宋体" w:hAnsi="宋体" w:cs="宋体"/>
          <w:kern w:val="0"/>
          <w:szCs w:val="21"/>
        </w:rPr>
        <w:t>双基</w:t>
      </w:r>
      <w:r>
        <w:rPr>
          <w:rFonts w:ascii="宋体" w:hAnsi="宋体" w:cs="宋体"/>
          <w:kern w:val="0"/>
          <w:szCs w:val="21"/>
        </w:rPr>
        <w:t xml:space="preserve"> </w:t>
      </w:r>
      <w:r>
        <w:rPr>
          <w:rFonts w:hint="eastAsia" w:ascii="宋体" w:hAnsi="宋体" w:cs="宋体"/>
          <w:kern w:val="0"/>
          <w:szCs w:val="21"/>
        </w:rPr>
        <w:t>管理体系。更加注重工作重心下移，在严格标准、注重实效上下功夫，努力把基层基础工作搞扎实。</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kern w:val="0"/>
          <w:szCs w:val="21"/>
        </w:rPr>
      </w:pPr>
      <w:r>
        <w:rPr>
          <w:rFonts w:hint="eastAsia" w:ascii="宋体" w:hAnsi="宋体" w:cs="宋体"/>
          <w:b/>
          <w:bCs/>
          <w:kern w:val="0"/>
          <w:szCs w:val="21"/>
        </w:rPr>
        <w:t>（1）规范管理制度。</w:t>
      </w:r>
      <w:r>
        <w:rPr>
          <w:rFonts w:hint="eastAsia" w:ascii="宋体" w:hAnsi="宋体" w:cs="宋体"/>
          <w:kern w:val="0"/>
          <w:szCs w:val="21"/>
        </w:rPr>
        <w:t>进一步完善《唐山市统计局关于乡镇（场）和街道办事处统计基础规范化建设实施方案》，并出台《关于进一步加强乡镇统计站建设的通知》，强化规范化管理，力争使还没有通过省局评定的</w:t>
      </w:r>
      <w:r>
        <w:rPr>
          <w:rFonts w:ascii="宋体" w:hAnsi="宋体" w:cs="宋体"/>
          <w:kern w:val="0"/>
          <w:szCs w:val="21"/>
        </w:rPr>
        <w:t>8</w:t>
      </w:r>
      <w:r>
        <w:rPr>
          <w:rFonts w:hint="eastAsia" w:ascii="宋体" w:hAnsi="宋体" w:cs="宋体"/>
          <w:kern w:val="0"/>
          <w:szCs w:val="21"/>
        </w:rPr>
        <w:t>个县（市）早日验收合格。</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kern w:val="0"/>
          <w:szCs w:val="21"/>
        </w:rPr>
      </w:pP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kern w:val="0"/>
          <w:szCs w:val="21"/>
        </w:rPr>
        <w:t>）规范工作标准。</w:t>
      </w:r>
      <w:r>
        <w:rPr>
          <w:rFonts w:hint="eastAsia" w:ascii="宋体" w:hAnsi="宋体" w:cs="宋体"/>
          <w:kern w:val="0"/>
          <w:szCs w:val="21"/>
        </w:rPr>
        <w:t>对乡镇统计站明确</w:t>
      </w:r>
      <w:r>
        <w:rPr>
          <w:rFonts w:ascii="宋体" w:hAnsi="宋体" w:cs="宋体"/>
          <w:kern w:val="0"/>
          <w:szCs w:val="21"/>
        </w:rPr>
        <w:t xml:space="preserve"> </w:t>
      </w:r>
      <w:r>
        <w:rPr>
          <w:rFonts w:hint="eastAsia" w:ascii="宋体" w:hAnsi="宋体" w:cs="宋体"/>
          <w:kern w:val="0"/>
          <w:szCs w:val="21"/>
        </w:rPr>
        <w:t>八个有</w:t>
      </w:r>
      <w:r>
        <w:rPr>
          <w:rFonts w:ascii="宋体" w:hAnsi="宋体" w:cs="宋体"/>
          <w:kern w:val="0"/>
          <w:szCs w:val="21"/>
        </w:rPr>
        <w:t xml:space="preserve"> </w:t>
      </w:r>
      <w:r>
        <w:rPr>
          <w:rFonts w:hint="eastAsia" w:ascii="宋体" w:hAnsi="宋体" w:cs="宋体"/>
          <w:kern w:val="0"/>
          <w:szCs w:val="21"/>
        </w:rPr>
        <w:t>标准，建立</w:t>
      </w:r>
      <w:r>
        <w:rPr>
          <w:rFonts w:ascii="宋体" w:hAnsi="宋体" w:cs="宋体"/>
          <w:kern w:val="0"/>
          <w:szCs w:val="21"/>
        </w:rPr>
        <w:t xml:space="preserve"> </w:t>
      </w:r>
      <w:r>
        <w:rPr>
          <w:rFonts w:hint="eastAsia" w:ascii="宋体" w:hAnsi="宋体" w:cs="宋体"/>
          <w:kern w:val="0"/>
          <w:szCs w:val="21"/>
        </w:rPr>
        <w:t>八项制度</w:t>
      </w:r>
      <w:r>
        <w:rPr>
          <w:rFonts w:ascii="宋体" w:hAnsi="宋体" w:cs="宋体"/>
          <w:kern w:val="0"/>
          <w:szCs w:val="21"/>
        </w:rPr>
        <w:t xml:space="preserve"> </w:t>
      </w:r>
      <w:r>
        <w:rPr>
          <w:rFonts w:hint="eastAsia" w:ascii="宋体" w:hAnsi="宋体" w:cs="宋体"/>
          <w:kern w:val="0"/>
          <w:szCs w:val="21"/>
        </w:rPr>
        <w:t>，并对执行情况进行督导检查，对不合格单位限期整改。</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kern w:val="0"/>
          <w:szCs w:val="21"/>
        </w:rPr>
      </w:pPr>
      <w:r>
        <w:rPr>
          <w:rFonts w:hint="eastAsia" w:ascii="宋体" w:hAnsi="宋体" w:cs="宋体"/>
          <w:b/>
          <w:bCs/>
          <w:kern w:val="0"/>
          <w:szCs w:val="21"/>
        </w:rPr>
        <w:t>（</w:t>
      </w:r>
      <w:r>
        <w:rPr>
          <w:rFonts w:ascii="宋体" w:hAnsi="宋体" w:cs="宋体"/>
          <w:b/>
          <w:bCs/>
          <w:kern w:val="0"/>
          <w:szCs w:val="21"/>
        </w:rPr>
        <w:t>3</w:t>
      </w:r>
      <w:r>
        <w:rPr>
          <w:rFonts w:hint="eastAsia" w:ascii="宋体" w:hAnsi="宋体" w:cs="宋体"/>
          <w:b/>
          <w:bCs/>
          <w:kern w:val="0"/>
          <w:szCs w:val="21"/>
        </w:rPr>
        <w:t>）规范指标设置。</w:t>
      </w:r>
      <w:r>
        <w:rPr>
          <w:rFonts w:hint="eastAsia" w:ascii="宋体" w:hAnsi="宋体" w:cs="宋体"/>
          <w:kern w:val="0"/>
          <w:szCs w:val="21"/>
        </w:rPr>
        <w:t>及时、系统、全面地跟踪反映社会经济发展，坚持与时俱进合理设置统计指标，科学构筑统计指标体系，为党委、政府科学决策提供丰富、翔实的量化依据。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kern w:val="0"/>
          <w:szCs w:val="21"/>
        </w:rPr>
      </w:pPr>
      <w:r>
        <w:rPr>
          <w:rFonts w:hint="eastAsia" w:ascii="宋体" w:hAnsi="宋体" w:cs="宋体"/>
          <w:b/>
          <w:bCs/>
          <w:kern w:val="0"/>
          <w:szCs w:val="21"/>
        </w:rPr>
        <w:t>（</w:t>
      </w:r>
      <w:r>
        <w:rPr>
          <w:rFonts w:ascii="宋体" w:hAnsi="宋体" w:cs="宋体"/>
          <w:b/>
          <w:bCs/>
          <w:kern w:val="0"/>
          <w:szCs w:val="21"/>
        </w:rPr>
        <w:t>4</w:t>
      </w:r>
      <w:r>
        <w:rPr>
          <w:rFonts w:hint="eastAsia" w:ascii="宋体" w:hAnsi="宋体" w:cs="宋体"/>
          <w:b/>
          <w:bCs/>
          <w:kern w:val="0"/>
          <w:szCs w:val="21"/>
        </w:rPr>
        <w:t>）规范统计行为。</w:t>
      </w:r>
      <w:r>
        <w:rPr>
          <w:rFonts w:hint="eastAsia" w:ascii="宋体" w:hAnsi="宋体" w:cs="宋体"/>
          <w:kern w:val="0"/>
          <w:szCs w:val="21"/>
        </w:rPr>
        <w:t>拟以市政府名义出台《规范基层统计工作的通知》，协调部门专项统计，加强统计基础，规范全市统计工作。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kern w:val="0"/>
          <w:szCs w:val="21"/>
        </w:rPr>
      </w:pPr>
      <w:r>
        <w:rPr>
          <w:rFonts w:hint="eastAsia" w:ascii="宋体" w:hAnsi="宋体" w:cs="宋体"/>
          <w:kern w:val="0"/>
          <w:szCs w:val="21"/>
        </w:rPr>
        <w:t>2、建立责任化的数据控制体系。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（1）实行数据质量层层负责制。</w:t>
      </w:r>
      <w:r>
        <w:rPr>
          <w:rFonts w:hint="eastAsia" w:ascii="宋体" w:hAnsi="宋体" w:cs="宋体"/>
          <w:kern w:val="0"/>
          <w:szCs w:val="21"/>
        </w:rPr>
        <w:t>发挥</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责任明确的优势，不断提高数据质量作为统计部门的第一职责，</w:t>
      </w:r>
      <w:r>
        <w:rPr>
          <w:rFonts w:hint="eastAsia" w:ascii="宋体" w:hAnsi="宋体" w:cs="宋体"/>
          <w:color w:val="000000"/>
          <w:kern w:val="0"/>
          <w:szCs w:val="21"/>
        </w:rPr>
        <w:t>在市。</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color w:val="000000"/>
          <w:kern w:val="0"/>
          <w:szCs w:val="21"/>
        </w:rPr>
        <w:t>（2）</w:t>
      </w:r>
      <w:r>
        <w:rPr>
          <w:rFonts w:hint="eastAsia" w:ascii="宋体" w:hAnsi="宋体" w:cs="宋体"/>
          <w:b/>
          <w:bCs/>
          <w:kern w:val="0"/>
          <w:szCs w:val="21"/>
        </w:rPr>
        <w:t>落实数据联审责任制。</w:t>
      </w:r>
      <w:r>
        <w:rPr>
          <w:rFonts w:hint="eastAsia" w:ascii="宋体" w:hAnsi="宋体" w:cs="宋体"/>
          <w:color w:val="000000"/>
          <w:kern w:val="0"/>
          <w:szCs w:val="21"/>
        </w:rPr>
        <w:t>对固定资产投资、能源消耗、利用外资等重点指标的完成情况，坚持每季度与市直有关部门联合会审，并明确和落实各部门的责任。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kern w:val="0"/>
          <w:szCs w:val="21"/>
        </w:rPr>
      </w:pPr>
      <w:r>
        <w:rPr>
          <w:rFonts w:hint="eastAsia" w:ascii="宋体" w:hAnsi="宋体" w:cs="宋体"/>
          <w:b/>
          <w:bCs/>
          <w:kern w:val="0"/>
          <w:szCs w:val="21"/>
        </w:rPr>
        <w:t>（3）建立数据质量责任追究制度</w:t>
      </w:r>
      <w:r>
        <w:rPr>
          <w:rFonts w:hint="eastAsia" w:ascii="宋体" w:hAnsi="宋体" w:cs="宋体"/>
          <w:kern w:val="0"/>
          <w:szCs w:val="21"/>
        </w:rPr>
        <w:t>。制定统计数据质量责任事故追究办法，明确统计数据质量责任事故认定标准、责任事故追究形式，形成自我约束、自我监督的统计工作责任体系。</w:t>
      </w:r>
    </w:p>
    <w:p>
      <w:pPr>
        <w:widowControl/>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建立产品化的咨询服务体系。</w:t>
      </w:r>
      <w:r>
        <w:rPr>
          <w:rFonts w:hint="eastAsia" w:ascii="宋体" w:hAnsi="宋体" w:cs="宋体"/>
          <w:color w:val="000000"/>
          <w:kern w:val="0"/>
          <w:szCs w:val="21"/>
        </w:rPr>
        <w:t>积极提升服务理念，为领导决策提供全面的、能动的、高层次服务，实现统计咨询服务产品化。重点在用活统计数据、强化统计调研分析、为分层管理决策和社会公众提供优质服务上给力，在做精品、创品牌上下功夫。</w:t>
      </w:r>
    </w:p>
    <w:p>
      <w:pPr>
        <w:widowControl/>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做好重要信息、统计资料和统计月报，编纂领导干部资料手册、统计年鉴、唐山统计和</w:t>
      </w:r>
      <w:r>
        <w:rPr>
          <w:rFonts w:ascii="宋体" w:hAnsi="宋体" w:cs="宋体"/>
          <w:color w:val="000000"/>
          <w:kern w:val="0"/>
          <w:szCs w:val="21"/>
        </w:rPr>
        <w:t xml:space="preserve"> </w:t>
      </w:r>
      <w:r>
        <w:rPr>
          <w:rFonts w:hint="eastAsia" w:ascii="宋体" w:hAnsi="宋体" w:cs="宋体"/>
          <w:color w:val="000000"/>
          <w:kern w:val="0"/>
          <w:szCs w:val="21"/>
        </w:rPr>
        <w:t>十一五</w:t>
      </w:r>
      <w:r>
        <w:rPr>
          <w:rFonts w:ascii="宋体" w:hAnsi="宋体" w:cs="宋体"/>
          <w:color w:val="000000"/>
          <w:kern w:val="0"/>
          <w:szCs w:val="21"/>
        </w:rPr>
        <w:t xml:space="preserve"> </w:t>
      </w:r>
      <w:r>
        <w:rPr>
          <w:rFonts w:hint="eastAsia" w:ascii="宋体" w:hAnsi="宋体" w:cs="宋体"/>
          <w:color w:val="000000"/>
          <w:kern w:val="0"/>
          <w:szCs w:val="21"/>
        </w:rPr>
        <w:t>经济资料汇编等资料。</w:t>
      </w:r>
    </w:p>
    <w:p>
      <w:pPr>
        <w:widowControl/>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充实统计数据</w:t>
      </w:r>
      <w:r>
        <w:rPr>
          <w:rFonts w:ascii="宋体" w:hAnsi="宋体" w:cs="宋体"/>
          <w:color w:val="000000"/>
          <w:kern w:val="0"/>
          <w:szCs w:val="21"/>
        </w:rPr>
        <w:t xml:space="preserve"> </w:t>
      </w:r>
      <w:r>
        <w:rPr>
          <w:rFonts w:hint="eastAsia" w:ascii="宋体" w:hAnsi="宋体" w:cs="宋体"/>
          <w:color w:val="000000"/>
          <w:kern w:val="0"/>
          <w:szCs w:val="21"/>
        </w:rPr>
        <w:t>资料库</w:t>
      </w:r>
      <w:r>
        <w:rPr>
          <w:rFonts w:ascii="宋体" w:hAnsi="宋体" w:cs="宋体"/>
          <w:color w:val="000000"/>
          <w:kern w:val="0"/>
          <w:szCs w:val="21"/>
        </w:rPr>
        <w:t xml:space="preserve"> </w:t>
      </w:r>
      <w:r>
        <w:rPr>
          <w:rFonts w:hint="eastAsia" w:ascii="宋体" w:hAnsi="宋体" w:cs="宋体"/>
          <w:color w:val="000000"/>
          <w:kern w:val="0"/>
          <w:szCs w:val="21"/>
        </w:rPr>
        <w:t>，确保经济发展到哪里统计服务就延伸到哪里。</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（3）建立统计监测</w:t>
      </w:r>
      <w:r>
        <w:rPr>
          <w:rFonts w:ascii="宋体" w:hAnsi="宋体" w:cs="宋体"/>
          <w:color w:val="000000"/>
          <w:kern w:val="0"/>
          <w:szCs w:val="21"/>
        </w:rPr>
        <w:t xml:space="preserve"> </w:t>
      </w:r>
      <w:r>
        <w:rPr>
          <w:rFonts w:hint="eastAsia" w:ascii="宋体" w:hAnsi="宋体" w:cs="宋体"/>
          <w:color w:val="000000"/>
          <w:kern w:val="0"/>
          <w:szCs w:val="21"/>
        </w:rPr>
        <w:t>直通车</w:t>
      </w:r>
      <w:r>
        <w:rPr>
          <w:rFonts w:ascii="宋体" w:hAnsi="宋体" w:cs="宋体"/>
          <w:color w:val="000000"/>
          <w:kern w:val="0"/>
          <w:szCs w:val="21"/>
        </w:rPr>
        <w:t xml:space="preserve"> </w:t>
      </w:r>
      <w:r>
        <w:rPr>
          <w:rFonts w:hint="eastAsia" w:ascii="宋体" w:hAnsi="宋体" w:cs="宋体"/>
          <w:color w:val="000000"/>
          <w:kern w:val="0"/>
          <w:szCs w:val="21"/>
        </w:rPr>
        <w:t>，在各县（市）区选择一至两个乡镇统计站、企业作为监测点，向市局直接报送统计分析，确保快捷有效。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（4）</w:t>
      </w:r>
      <w:r>
        <w:rPr>
          <w:rFonts w:hint="eastAsia" w:ascii="宋体" w:hAnsi="宋体" w:cs="宋体"/>
          <w:color w:val="000000"/>
          <w:kern w:val="0"/>
          <w:szCs w:val="21"/>
        </w:rPr>
        <w:t>成立统计咨询课题组，围绕经济生活中的重点、难点问题，开展专题分析研究，为各级领导决策提供精品服务。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（5）</w:t>
      </w:r>
      <w:r>
        <w:rPr>
          <w:rFonts w:hint="eastAsia" w:ascii="宋体" w:hAnsi="宋体" w:cs="宋体"/>
          <w:color w:val="000000"/>
          <w:kern w:val="0"/>
          <w:szCs w:val="21"/>
        </w:rPr>
        <w:t>加强统计调查和资料开发应用，并组织实施能源调查、居民幸福指数调查等工作，及时提出建议，服务好各级领导决策。</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（6）</w:t>
      </w:r>
      <w:r>
        <w:rPr>
          <w:rFonts w:hint="eastAsia" w:ascii="宋体" w:hAnsi="宋体" w:cs="宋体"/>
          <w:color w:val="000000"/>
          <w:kern w:val="0"/>
          <w:szCs w:val="21"/>
        </w:rPr>
        <w:t>延伸统计为民服务活动，利用统计数据和统计分析，为企业、为社会公众提供更有效的服务</w:t>
      </w:r>
      <w:r>
        <w:rPr>
          <w:rFonts w:hint="eastAsia" w:ascii="宋体" w:hAnsi="宋体" w:cs="宋体"/>
          <w:kern w:val="0"/>
          <w:szCs w:val="21"/>
        </w:rPr>
        <w:t>。</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4、建立科学化的制度方法体系。把统计改革作为推进统计科学发展的强大动力，积极探索统计制度方法改革的新路径。</w:t>
      </w:r>
      <w:r>
        <w:rPr>
          <w:rFonts w:hint="eastAsia" w:ascii="宋体" w:hAnsi="宋体" w:cs="宋体"/>
          <w:b/>
          <w:bCs/>
          <w:kern w:val="0"/>
          <w:szCs w:val="21"/>
        </w:rPr>
        <w:t>一方面，继续深化</w:t>
      </w:r>
      <w:r>
        <w:rPr>
          <w:rFonts w:ascii="宋体" w:hAnsi="宋体" w:cs="宋体"/>
          <w:b/>
          <w:bCs/>
          <w:kern w:val="0"/>
          <w:szCs w:val="21"/>
        </w:rPr>
        <w:t xml:space="preserve"> </w:t>
      </w:r>
      <w:r>
        <w:rPr>
          <w:rFonts w:hint="eastAsia" w:ascii="宋体" w:hAnsi="宋体" w:cs="宋体"/>
          <w:b/>
          <w:bCs/>
          <w:kern w:val="0"/>
          <w:szCs w:val="21"/>
        </w:rPr>
        <w:t>企业一套表</w:t>
      </w:r>
      <w:r>
        <w:rPr>
          <w:rFonts w:ascii="宋体" w:hAnsi="宋体" w:cs="宋体"/>
          <w:b/>
          <w:bCs/>
          <w:kern w:val="0"/>
          <w:szCs w:val="21"/>
        </w:rPr>
        <w:t xml:space="preserve"> </w:t>
      </w:r>
      <w:r>
        <w:rPr>
          <w:rFonts w:hint="eastAsia" w:ascii="宋体" w:hAnsi="宋体" w:cs="宋体"/>
          <w:b/>
          <w:bCs/>
          <w:kern w:val="0"/>
          <w:szCs w:val="21"/>
        </w:rPr>
        <w:t>改革。</w:t>
      </w:r>
      <w:r>
        <w:rPr>
          <w:rFonts w:hint="eastAsia" w:ascii="宋体" w:hAnsi="宋体" w:cs="宋体"/>
          <w:kern w:val="0"/>
          <w:szCs w:val="21"/>
        </w:rPr>
        <w:t>把</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改革作为推进</w:t>
      </w:r>
      <w:r>
        <w:rPr>
          <w:rFonts w:ascii="宋体" w:hAnsi="宋体" w:cs="宋体"/>
          <w:kern w:val="0"/>
          <w:szCs w:val="21"/>
        </w:rPr>
        <w:t xml:space="preserve"> </w:t>
      </w:r>
      <w:r>
        <w:rPr>
          <w:rFonts w:hint="eastAsia" w:ascii="宋体" w:hAnsi="宋体" w:cs="宋体"/>
          <w:kern w:val="0"/>
          <w:szCs w:val="21"/>
        </w:rPr>
        <w:t>四大工程</w:t>
      </w:r>
      <w:r>
        <w:rPr>
          <w:rFonts w:ascii="宋体" w:hAnsi="宋体" w:cs="宋体"/>
          <w:kern w:val="0"/>
          <w:szCs w:val="21"/>
        </w:rPr>
        <w:t xml:space="preserve"> </w:t>
      </w:r>
      <w:r>
        <w:rPr>
          <w:rFonts w:hint="eastAsia" w:ascii="宋体" w:hAnsi="宋体" w:cs="宋体"/>
          <w:kern w:val="0"/>
          <w:szCs w:val="21"/>
        </w:rPr>
        <w:t>的龙头，积极配合省局做好</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改革的推广工作，巩固</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改革成果，及时发现、解决运行中存在的问题，完善系统平台；增加</w:t>
      </w:r>
      <w:r>
        <w:rPr>
          <w:rFonts w:ascii="宋体" w:hAnsi="宋体" w:cs="宋体"/>
          <w:kern w:val="0"/>
          <w:szCs w:val="21"/>
        </w:rPr>
        <w:t xml:space="preserve"> </w:t>
      </w:r>
      <w:r>
        <w:rPr>
          <w:rFonts w:hint="eastAsia" w:ascii="宋体" w:hAnsi="宋体" w:cs="宋体"/>
          <w:kern w:val="0"/>
          <w:szCs w:val="21"/>
        </w:rPr>
        <w:t>一套表</w:t>
      </w:r>
      <w:r>
        <w:rPr>
          <w:rFonts w:ascii="宋体" w:hAnsi="宋体" w:cs="宋体"/>
          <w:kern w:val="0"/>
          <w:szCs w:val="21"/>
        </w:rPr>
        <w:t xml:space="preserve"> </w:t>
      </w:r>
      <w:r>
        <w:rPr>
          <w:rFonts w:hint="eastAsia" w:ascii="宋体" w:hAnsi="宋体" w:cs="宋体"/>
          <w:kern w:val="0"/>
          <w:szCs w:val="21"/>
        </w:rPr>
        <w:t>汇总表、计算表的表式，逐步替代常规统计的程序；扩大贸易专业</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的统计范围，增加规模以下单位的统计；把固定资产投资、服务业、劳资等专业纳入</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试点，全面推广使用</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系统；加强</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运行管理，搞好数据的审核。</w:t>
      </w:r>
      <w:r>
        <w:rPr>
          <w:rFonts w:hint="eastAsia" w:ascii="宋体" w:hAnsi="宋体" w:cs="宋体"/>
          <w:b/>
          <w:bCs/>
          <w:kern w:val="0"/>
          <w:szCs w:val="21"/>
        </w:rPr>
        <w:t>另一方面，推动文化产业、服务业、贸易业等其它统计方法制度的改革创新。</w:t>
      </w:r>
      <w:r>
        <w:rPr>
          <w:rFonts w:hint="eastAsia" w:ascii="宋体" w:hAnsi="宋体" w:cs="宋体"/>
          <w:kern w:val="0"/>
          <w:szCs w:val="21"/>
        </w:rPr>
        <w:t>建立文化产业统计制度，推进服务业报表制度改革，开展贸易统计改革，继续做好规模以上个体户全面入统和完善限额以下商贸企业抽样调查工作。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5、建立现代化的信息传输体系。</w:t>
      </w:r>
      <w:r>
        <w:rPr>
          <w:rFonts w:hint="eastAsia" w:ascii="宋体" w:hAnsi="宋体" w:cs="宋体"/>
          <w:color w:val="000000"/>
          <w:kern w:val="0"/>
          <w:szCs w:val="21"/>
        </w:rPr>
        <w:t>把统计信息化建设纳入市县电子政务建设规划，按照相关要求，明确建设目标、建设任务和工作进度。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w:t>
      </w:r>
      <w:r>
        <w:rPr>
          <w:rFonts w:ascii="宋体" w:hAnsi="宋体" w:cs="宋体"/>
          <w:b/>
          <w:bCs/>
          <w:kern w:val="0"/>
          <w:szCs w:val="21"/>
        </w:rPr>
        <w:t>1</w:t>
      </w:r>
      <w:r>
        <w:rPr>
          <w:rFonts w:hint="eastAsia" w:ascii="宋体" w:hAnsi="宋体" w:cs="宋体"/>
          <w:b/>
          <w:bCs/>
          <w:kern w:val="0"/>
          <w:szCs w:val="21"/>
        </w:rPr>
        <w:t>）健全网络</w:t>
      </w:r>
      <w:r>
        <w:rPr>
          <w:rFonts w:hint="eastAsia" w:ascii="宋体" w:hAnsi="宋体" w:cs="宋体"/>
          <w:color w:val="000000"/>
          <w:kern w:val="0"/>
          <w:szCs w:val="21"/>
        </w:rPr>
        <w:t>。充分利用现有网络平台资源，改造升级省、市、县三级统计信息网络系统和信息安全系统，加快市</w:t>
      </w:r>
      <w:r>
        <w:rPr>
          <w:rFonts w:ascii="宋体" w:hAnsi="宋体" w:cs="宋体"/>
          <w:color w:val="000000"/>
          <w:kern w:val="0"/>
          <w:szCs w:val="21"/>
        </w:rPr>
        <w:t>-</w:t>
      </w:r>
      <w:r>
        <w:rPr>
          <w:rFonts w:hint="eastAsia" w:ascii="宋体" w:hAnsi="宋体" w:cs="宋体"/>
          <w:color w:val="000000"/>
          <w:kern w:val="0"/>
          <w:szCs w:val="21"/>
        </w:rPr>
        <w:t>县间计算机网络扩容、改造工作的步伐。大规模提升乡镇（街道）统计站计算机和网络装备水平，并确保全市乡镇（街道）统计站人均拥有一台计算机。</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color w:val="000000"/>
          <w:kern w:val="0"/>
          <w:szCs w:val="21"/>
        </w:rPr>
      </w:pP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kern w:val="0"/>
          <w:szCs w:val="21"/>
        </w:rPr>
        <w:t>）建设视频会议系统。</w:t>
      </w:r>
      <w:r>
        <w:rPr>
          <w:rFonts w:hint="eastAsia" w:ascii="宋体" w:hAnsi="宋体" w:cs="宋体"/>
          <w:color w:val="000000"/>
          <w:kern w:val="0"/>
          <w:szCs w:val="21"/>
        </w:rPr>
        <w:t>在市县之间建设视频会议系统</w:t>
      </w:r>
      <w:r>
        <w:rPr>
          <w:rFonts w:hint="eastAsia" w:ascii="宋体" w:hAnsi="宋体" w:cs="宋体"/>
          <w:b/>
          <w:bCs/>
          <w:kern w:val="0"/>
          <w:szCs w:val="21"/>
        </w:rPr>
        <w:t>，</w:t>
      </w:r>
      <w:r>
        <w:rPr>
          <w:rFonts w:hint="eastAsia" w:ascii="宋体" w:hAnsi="宋体" w:cs="宋体"/>
          <w:color w:val="000000"/>
          <w:kern w:val="0"/>
          <w:szCs w:val="21"/>
        </w:rPr>
        <w:t>力争上半年完成，确保视频会议系统使用的高效率、高质量、高标准。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6、建立强势化的统计执法体系。</w:t>
      </w:r>
      <w:r>
        <w:rPr>
          <w:rFonts w:hint="eastAsia" w:ascii="宋体" w:hAnsi="宋体" w:cs="宋体"/>
          <w:color w:val="000000"/>
          <w:kern w:val="0"/>
          <w:szCs w:val="21"/>
        </w:rPr>
        <w:t>加大统计法制贯彻执行的力度，力求做到</w:t>
      </w:r>
      <w:r>
        <w:rPr>
          <w:rFonts w:ascii="宋体" w:hAnsi="宋体" w:cs="宋体"/>
          <w:color w:val="000000"/>
          <w:kern w:val="0"/>
          <w:szCs w:val="21"/>
        </w:rPr>
        <w:t xml:space="preserve"> </w:t>
      </w:r>
      <w:r>
        <w:rPr>
          <w:rFonts w:hint="eastAsia" w:ascii="宋体" w:hAnsi="宋体" w:cs="宋体"/>
          <w:color w:val="000000"/>
          <w:kern w:val="0"/>
          <w:szCs w:val="21"/>
        </w:rPr>
        <w:t>三个全覆盖</w:t>
      </w:r>
      <w:r>
        <w:rPr>
          <w:rFonts w:ascii="宋体" w:hAnsi="宋体" w:cs="宋体"/>
          <w:color w:val="000000"/>
          <w:kern w:val="0"/>
          <w:szCs w:val="21"/>
        </w:rPr>
        <w:t xml:space="preserve"> </w:t>
      </w:r>
      <w:r>
        <w:rPr>
          <w:rFonts w:hint="eastAsia" w:ascii="宋体" w:hAnsi="宋体" w:cs="宋体"/>
          <w:color w:val="000000"/>
          <w:kern w:val="0"/>
          <w:szCs w:val="21"/>
        </w:rPr>
        <w:t>：</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（1）法制宣传全覆盖。</w:t>
      </w:r>
      <w:r>
        <w:rPr>
          <w:rFonts w:hint="eastAsia" w:ascii="宋体" w:hAnsi="宋体" w:cs="宋体"/>
          <w:color w:val="000000"/>
          <w:kern w:val="0"/>
          <w:szCs w:val="21"/>
        </w:rPr>
        <w:t>继续深入开展《统计违法违纪行为处分规定》和《统计法》宣传，采取办班宣传、借助媒体宣传、扩大网络宣传、印发</w:t>
      </w:r>
      <w:r>
        <w:rPr>
          <w:rFonts w:ascii="宋体" w:hAnsi="宋体" w:cs="宋体"/>
          <w:color w:val="000000"/>
          <w:kern w:val="0"/>
          <w:szCs w:val="21"/>
        </w:rPr>
        <w:t xml:space="preserve"> </w:t>
      </w:r>
      <w:r>
        <w:rPr>
          <w:rFonts w:hint="eastAsia" w:ascii="宋体" w:hAnsi="宋体" w:cs="宋体"/>
          <w:color w:val="000000"/>
          <w:kern w:val="0"/>
          <w:szCs w:val="21"/>
        </w:rPr>
        <w:t>明白纸</w:t>
      </w:r>
      <w:r>
        <w:rPr>
          <w:rFonts w:ascii="宋体" w:hAnsi="宋体" w:cs="宋体"/>
          <w:color w:val="000000"/>
          <w:kern w:val="0"/>
          <w:szCs w:val="21"/>
        </w:rPr>
        <w:t xml:space="preserve"> </w:t>
      </w:r>
      <w:r>
        <w:rPr>
          <w:rFonts w:hint="eastAsia" w:ascii="宋体" w:hAnsi="宋体" w:cs="宋体"/>
          <w:color w:val="000000"/>
          <w:kern w:val="0"/>
          <w:szCs w:val="21"/>
        </w:rPr>
        <w:t>宣传、组团宣传等多种方法，力求使社会各界对统计工作更加了解，对统计工作更加支持。</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（2）法制教育全覆盖。</w:t>
      </w:r>
      <w:r>
        <w:rPr>
          <w:rFonts w:hint="eastAsia" w:ascii="宋体" w:hAnsi="宋体" w:cs="宋体"/>
          <w:color w:val="000000"/>
          <w:kern w:val="0"/>
          <w:szCs w:val="21"/>
        </w:rPr>
        <w:t>除市局组织举办一次大型的法制培训班外，开展法制教育</w:t>
      </w:r>
      <w:r>
        <w:rPr>
          <w:rFonts w:ascii="宋体" w:hAnsi="宋体" w:cs="宋体"/>
          <w:color w:val="000000"/>
          <w:kern w:val="0"/>
          <w:szCs w:val="21"/>
        </w:rPr>
        <w:t xml:space="preserve"> </w:t>
      </w:r>
      <w:r>
        <w:rPr>
          <w:rFonts w:hint="eastAsia" w:ascii="宋体" w:hAnsi="宋体" w:cs="宋体"/>
          <w:color w:val="000000"/>
          <w:kern w:val="0"/>
          <w:szCs w:val="21"/>
        </w:rPr>
        <w:t>五进</w:t>
      </w:r>
      <w:r>
        <w:rPr>
          <w:rFonts w:ascii="宋体" w:hAnsi="宋体" w:cs="宋体"/>
          <w:color w:val="000000"/>
          <w:kern w:val="0"/>
          <w:szCs w:val="21"/>
        </w:rPr>
        <w:t xml:space="preserve"> </w:t>
      </w:r>
      <w:r>
        <w:rPr>
          <w:rFonts w:hint="eastAsia" w:ascii="宋体" w:hAnsi="宋体" w:cs="宋体"/>
          <w:color w:val="000000"/>
          <w:kern w:val="0"/>
          <w:szCs w:val="21"/>
        </w:rPr>
        <w:t>活动，即进课堂、进机关、进企业、进家庭、进基层，增强全社会依法统计意识，提高统计人员执法能力。</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color w:val="000000"/>
          <w:kern w:val="0"/>
          <w:szCs w:val="21"/>
        </w:rPr>
      </w:pPr>
      <w:r>
        <w:rPr>
          <w:rFonts w:hint="eastAsia" w:ascii="宋体" w:hAnsi="宋体" w:cs="宋体"/>
          <w:b/>
          <w:bCs/>
          <w:kern w:val="0"/>
          <w:szCs w:val="21"/>
        </w:rPr>
        <w:t>（3）执法检查全覆盖。</w:t>
      </w:r>
      <w:r>
        <w:rPr>
          <w:rFonts w:hint="eastAsia" w:ascii="宋体" w:hAnsi="宋体" w:cs="宋体"/>
          <w:color w:val="000000"/>
          <w:kern w:val="0"/>
          <w:szCs w:val="21"/>
        </w:rPr>
        <w:t>把统计执法检查贯穿全年工作始终，执法范围覆盖到每个统计单位，定期开展专项统计执法检查、集中开展统计执法大检查，坚决查处瞒报、漏报、虚报、篡改等统计违法行为，积极创造良好的统计法制环境。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color w:val="000000"/>
          <w:kern w:val="0"/>
          <w:szCs w:val="21"/>
        </w:rPr>
      </w:pPr>
      <w:r>
        <w:rPr>
          <w:rFonts w:hint="eastAsia" w:ascii="宋体" w:hAnsi="宋体" w:cs="宋体"/>
          <w:kern w:val="0"/>
          <w:szCs w:val="21"/>
        </w:rPr>
        <w:t>7、建立精细化的内部管理体系。</w:t>
      </w:r>
      <w:r>
        <w:rPr>
          <w:rFonts w:hint="eastAsia" w:ascii="宋体" w:hAnsi="宋体" w:cs="宋体"/>
          <w:b/>
          <w:bCs/>
          <w:kern w:val="0"/>
          <w:szCs w:val="21"/>
        </w:rPr>
        <w:t>推进干部管理精细化。</w:t>
      </w:r>
      <w:r>
        <w:rPr>
          <w:rFonts w:hint="eastAsia" w:ascii="宋体" w:hAnsi="宋体" w:cs="宋体"/>
          <w:color w:val="000000"/>
          <w:kern w:val="0"/>
          <w:szCs w:val="21"/>
        </w:rPr>
        <w:t>以推进学习型党组织建设、深化</w:t>
      </w:r>
      <w:r>
        <w:rPr>
          <w:rFonts w:ascii="宋体" w:hAnsi="宋体" w:cs="宋体"/>
          <w:color w:val="000000"/>
          <w:kern w:val="0"/>
          <w:szCs w:val="21"/>
        </w:rPr>
        <w:t xml:space="preserve"> </w:t>
      </w:r>
      <w:r>
        <w:rPr>
          <w:rFonts w:hint="eastAsia" w:ascii="宋体" w:hAnsi="宋体" w:cs="宋体"/>
          <w:color w:val="000000"/>
          <w:kern w:val="0"/>
          <w:szCs w:val="21"/>
        </w:rPr>
        <w:t>创先争优</w:t>
      </w:r>
      <w:r>
        <w:rPr>
          <w:rFonts w:ascii="宋体" w:hAnsi="宋体" w:cs="宋体"/>
          <w:color w:val="000000"/>
          <w:kern w:val="0"/>
          <w:szCs w:val="21"/>
        </w:rPr>
        <w:t xml:space="preserve"> </w:t>
      </w:r>
      <w:r>
        <w:rPr>
          <w:rFonts w:hint="eastAsia" w:ascii="宋体" w:hAnsi="宋体" w:cs="宋体"/>
          <w:color w:val="000000"/>
          <w:kern w:val="0"/>
          <w:szCs w:val="21"/>
        </w:rPr>
        <w:t>活动和</w:t>
      </w:r>
      <w:r>
        <w:rPr>
          <w:rFonts w:ascii="宋体" w:hAnsi="宋体" w:cs="宋体"/>
          <w:color w:val="000000"/>
          <w:kern w:val="0"/>
          <w:szCs w:val="21"/>
        </w:rPr>
        <w:t xml:space="preserve"> </w:t>
      </w:r>
      <w:r>
        <w:rPr>
          <w:rFonts w:hint="eastAsia" w:ascii="宋体" w:hAnsi="宋体" w:cs="宋体"/>
          <w:color w:val="000000"/>
          <w:kern w:val="0"/>
          <w:szCs w:val="21"/>
        </w:rPr>
        <w:t>“五讲五提升</w:t>
      </w:r>
      <w:r>
        <w:rPr>
          <w:rFonts w:ascii="宋体" w:hAnsi="宋体" w:cs="宋体"/>
          <w:color w:val="000000"/>
          <w:kern w:val="0"/>
          <w:szCs w:val="21"/>
        </w:rPr>
        <w:t xml:space="preserve"> </w:t>
      </w:r>
      <w:r>
        <w:rPr>
          <w:rFonts w:hint="eastAsia" w:ascii="宋体" w:hAnsi="宋体" w:cs="宋体"/>
          <w:color w:val="000000"/>
          <w:kern w:val="0"/>
          <w:szCs w:val="21"/>
        </w:rPr>
        <w:t>活动为抓手，具体打造学习型、服务型、创新型、规范型、示范型等</w:t>
      </w:r>
      <w:r>
        <w:rPr>
          <w:rFonts w:ascii="宋体" w:hAnsi="宋体" w:cs="宋体"/>
          <w:color w:val="000000"/>
          <w:kern w:val="0"/>
          <w:szCs w:val="21"/>
        </w:rPr>
        <w:t xml:space="preserve"> </w:t>
      </w:r>
      <w:r>
        <w:rPr>
          <w:rFonts w:hint="eastAsia" w:ascii="宋体" w:hAnsi="宋体" w:cs="宋体"/>
          <w:color w:val="000000"/>
          <w:kern w:val="0"/>
          <w:szCs w:val="21"/>
        </w:rPr>
        <w:t>五型</w:t>
      </w:r>
      <w:r>
        <w:rPr>
          <w:rFonts w:ascii="宋体" w:hAnsi="宋体" w:cs="宋体"/>
          <w:color w:val="000000"/>
          <w:kern w:val="0"/>
          <w:szCs w:val="21"/>
        </w:rPr>
        <w:t xml:space="preserve"> </w:t>
      </w:r>
      <w:r>
        <w:rPr>
          <w:rFonts w:hint="eastAsia" w:ascii="宋体" w:hAnsi="宋体" w:cs="宋体"/>
          <w:color w:val="000000"/>
          <w:kern w:val="0"/>
          <w:szCs w:val="21"/>
        </w:rPr>
        <w:t>团队，全面提高整体素质。</w:t>
      </w:r>
      <w:r>
        <w:rPr>
          <w:rFonts w:hint="eastAsia" w:ascii="宋体" w:hAnsi="宋体" w:cs="宋体"/>
          <w:b/>
          <w:bCs/>
          <w:kern w:val="0"/>
          <w:szCs w:val="21"/>
        </w:rPr>
        <w:t>推进工作管理精细化。</w:t>
      </w:r>
      <w:r>
        <w:rPr>
          <w:rFonts w:hint="eastAsia" w:ascii="宋体" w:hAnsi="宋体" w:cs="宋体"/>
          <w:color w:val="000000"/>
          <w:kern w:val="0"/>
          <w:szCs w:val="21"/>
        </w:rPr>
        <w:t>对各项工作制度进行全面梳理、完善，按照精简程序、理清环节、分清责任、明确标准的要求，细化工作标准，规范工作流程，制定出标准工作流程，使每一项工作都做到过程清晰、责任明确。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pPr>
      <w:r>
        <w:rPr>
          <w:rFonts w:hint="eastAsia" w:ascii="宋体" w:hAnsi="宋体" w:cs="宋体"/>
          <w:kern w:val="0"/>
          <w:szCs w:val="21"/>
        </w:rPr>
        <w:t>8、高质量完成人口普查和各项统计调查任务。</w:t>
      </w:r>
      <w:r>
        <w:rPr>
          <w:rFonts w:hint="eastAsia" w:ascii="宋体" w:hAnsi="宋体" w:cs="宋体"/>
          <w:color w:val="000000"/>
          <w:kern w:val="0"/>
          <w:szCs w:val="21"/>
        </w:rPr>
        <w:t>认真做好第六次全国人口普查后期工作。精心组织人口普查数据处理，逐级按时完成数据审核、校正和上报工作，加强数据质量控制，认真做好分地区、分结构指标数据的研究、评估和分析工作，切实加强普查表管理，做好人口普查主要数据发布、总结表彰工作。搞好普查资料开发应用，发挥普查资料价值和社会效益。扎实做好各项常规统计调查工作，坚持科学统计、依法统计，确保数据质量，反映经济社会发展实际。认真做好</w:t>
      </w:r>
      <w:r>
        <w:rPr>
          <w:rFonts w:ascii="宋体" w:hAnsi="宋体" w:cs="宋体"/>
          <w:color w:val="000000"/>
          <w:kern w:val="0"/>
          <w:szCs w:val="21"/>
        </w:rPr>
        <w:t>R&amp;D</w:t>
      </w:r>
      <w:r>
        <w:rPr>
          <w:rFonts w:hint="eastAsia" w:ascii="宋体" w:hAnsi="宋体" w:cs="宋体"/>
          <w:color w:val="000000"/>
          <w:kern w:val="0"/>
          <w:szCs w:val="21"/>
        </w:rPr>
        <w:t>资源清查数据研究和资料开发等相关工作，建立第二次河北省</w:t>
      </w:r>
      <w:r>
        <w:rPr>
          <w:rFonts w:ascii="宋体" w:hAnsi="宋体" w:cs="宋体"/>
          <w:color w:val="000000"/>
          <w:kern w:val="0"/>
          <w:szCs w:val="21"/>
        </w:rPr>
        <w:t>R&amp;D</w:t>
      </w:r>
      <w:r>
        <w:rPr>
          <w:rFonts w:hint="eastAsia" w:ascii="宋体" w:hAnsi="宋体" w:cs="宋体"/>
          <w:color w:val="000000"/>
          <w:kern w:val="0"/>
          <w:szCs w:val="21"/>
        </w:rPr>
        <w:t>资源清查数据库。</w:t>
      </w:r>
    </w:p>
    <w:p>
      <w:pPr>
        <w:jc w:val="left"/>
        <w:rPr>
          <w:rFonts w:ascii="宋体" w:hAnsi="宋体"/>
          <w:b/>
          <w:color w:val="000000"/>
          <w:sz w:val="28"/>
        </w:rPr>
      </w:pPr>
      <w:r>
        <w:rPr>
          <w:rFonts w:ascii="宋体" w:hAnsi="宋体"/>
          <w:b/>
          <w:color w:val="000000"/>
          <w:sz w:val="28"/>
        </w:rPr>
        <w:t>三、唐山市统计局规划目标保障措施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方正楷体"/>
          <w:kern w:val="0"/>
          <w:szCs w:val="21"/>
        </w:rPr>
      </w:pPr>
      <w:r>
        <w:rPr>
          <w:rFonts w:hint="eastAsia" w:ascii="宋体" w:hAnsi="宋体" w:cs="方正楷体"/>
          <w:kern w:val="0"/>
          <w:szCs w:val="21"/>
        </w:rPr>
        <w:t>1、 依照国家和省有关法律、法规和政策、计划，制定并实施统计工作规章制度、统计现代化建设规划和统计调查计划；组织领导和监督检查市内各县（市）、区、场、各部门统计和国民经济核算工作，监督检查统计法律、法规实施情况。</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方正楷体"/>
          <w:kern w:val="0"/>
          <w:szCs w:val="21"/>
        </w:rPr>
      </w:pPr>
      <w:r>
        <w:rPr>
          <w:rFonts w:hint="eastAsia" w:ascii="宋体" w:hAnsi="宋体" w:cs="方正楷体"/>
          <w:kern w:val="0"/>
          <w:szCs w:val="21"/>
        </w:rPr>
        <w:t>2、 贯彻执行国家和省国民经济核算体系、统计指标体系和基本统计制度；组织、协调全市统计工作和国民经济核算工作；统一组织、管理全市统计报表工作；制定全市统计调查标准和统计调查制度；组织管理、审批各部门、各县（市）区统计调查项目（包括社会和涉外调查）、调查计划、调查方案；组织管理全市统计登记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方正楷体"/>
          <w:kern w:val="0"/>
          <w:szCs w:val="21"/>
        </w:rPr>
      </w:pPr>
      <w:r>
        <w:rPr>
          <w:rFonts w:hint="eastAsia" w:ascii="宋体" w:hAnsi="宋体" w:cs="方正楷体"/>
          <w:kern w:val="0"/>
          <w:szCs w:val="21"/>
        </w:rPr>
        <w:t>3、组织完成国家和省部署的普查任务；研究提出重大市情市力普查和抽样调查计划，并组织实施；组织协调各县（市）、区、场、各部门社会经济调查，汇总、整理全市基本统计资料；对国民经济、科技进步和社会发展等情况进行统计分析、预测、监督和考核，向市委、市政府及有关部门提供统计信息和咨询建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方正楷体"/>
          <w:kern w:val="0"/>
          <w:szCs w:val="21"/>
        </w:rPr>
      </w:pPr>
      <w:r>
        <w:rPr>
          <w:rFonts w:hint="eastAsia" w:ascii="宋体" w:hAnsi="宋体" w:cs="方正楷体"/>
          <w:kern w:val="0"/>
          <w:szCs w:val="21"/>
        </w:rPr>
        <w:t>4、统一核定、管理、公布、出版全市性的基本统计资料，定期发布全市国民经济和社会发展情况的统计信息。</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方正楷体"/>
          <w:kern w:val="0"/>
          <w:szCs w:val="21"/>
        </w:rPr>
      </w:pPr>
      <w:r>
        <w:rPr>
          <w:rFonts w:hint="eastAsia" w:ascii="宋体" w:hAnsi="宋体" w:cs="方正楷体"/>
          <w:kern w:val="0"/>
          <w:szCs w:val="21"/>
        </w:rPr>
        <w:t>5、管理全市统计信息自动化系统和统计数据库体系；管理全市统计数据库网络。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方正楷体"/>
          <w:kern w:val="0"/>
          <w:szCs w:val="21"/>
        </w:rPr>
      </w:pPr>
      <w:r>
        <w:rPr>
          <w:rFonts w:hint="eastAsia" w:ascii="宋体" w:hAnsi="宋体" w:cs="方正楷体"/>
          <w:kern w:val="0"/>
          <w:szCs w:val="21"/>
        </w:rPr>
        <w:t>6、组织管理统计人员持证上岗及培训教育，协助有关部门组织管理统计专业技术资格考试和专业技术职务评聘工作。</w:t>
      </w:r>
    </w:p>
    <w:p>
      <w:pPr>
        <w:spacing w:line="360" w:lineRule="auto"/>
        <w:ind w:firstLine="407" w:firstLineChars="194"/>
        <w:rPr>
          <w:rFonts w:ascii="宋体" w:hAnsi="宋体"/>
          <w:szCs w:val="21"/>
        </w:rPr>
      </w:pPr>
      <w:r>
        <w:rPr>
          <w:rFonts w:hint="eastAsia" w:ascii="宋体" w:hAnsi="宋体" w:cs="方正楷体"/>
          <w:kern w:val="0"/>
          <w:szCs w:val="21"/>
        </w:rPr>
        <w:t>7、负责全市各部门各单位统计工作业务指导，开展统计工作和统计科学的学术交流合作；规划、协调全市社会经济统计信息咨询服务行业，积极培育和发展信息咨询服务市场。</w:t>
      </w:r>
    </w:p>
    <w:p>
      <w:pPr>
        <w:jc w:val="left"/>
        <w:rPr>
          <w:rFonts w:ascii="宋体" w:hAnsi="宋体"/>
          <w:b/>
          <w:color w:val="000000"/>
          <w:sz w:val="28"/>
        </w:rPr>
      </w:pPr>
      <w:r>
        <w:rPr>
          <w:rFonts w:ascii="宋体" w:hAnsi="宋体"/>
          <w:b/>
          <w:color w:val="000000"/>
          <w:sz w:val="28"/>
        </w:rPr>
        <w:t>四、唐山市统计局部门总体绩效目标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kern w:val="0"/>
          <w:szCs w:val="21"/>
        </w:rPr>
      </w:pPr>
      <w:r>
        <w:rPr>
          <w:rFonts w:hint="eastAsia" w:ascii="宋体" w:hAnsi="宋体" w:cs="方正楷体"/>
          <w:kern w:val="0"/>
          <w:szCs w:val="21"/>
        </w:rPr>
        <w:t>1、建立规范化的双基管理体系。更加注重工作重心下移，在严格标准、注重实效上下功夫，努力把基层基础工作搞扎实。</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kern w:val="0"/>
          <w:szCs w:val="21"/>
        </w:rPr>
      </w:pPr>
      <w:r>
        <w:rPr>
          <w:rFonts w:hint="eastAsia" w:ascii="宋体" w:hAnsi="宋体" w:cs="方正楷体"/>
          <w:b/>
          <w:bCs/>
          <w:kern w:val="0"/>
          <w:szCs w:val="21"/>
        </w:rPr>
        <w:t>（1）规范管理制度。</w:t>
      </w:r>
      <w:r>
        <w:rPr>
          <w:rFonts w:hint="eastAsia" w:ascii="宋体" w:hAnsi="宋体" w:cs="方正楷体"/>
          <w:kern w:val="0"/>
          <w:szCs w:val="21"/>
        </w:rPr>
        <w:t>进一步完善《唐山市统计局关于乡镇（场）和街道办事处统计基础规范化建设实施方案》，并出台《关于进一步加强乡镇统计站建设的通知》，强化规范化管理，力争使还没有通过省局评定的8个县（市）早日验收合格。</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kern w:val="0"/>
          <w:szCs w:val="21"/>
        </w:rPr>
      </w:pPr>
      <w:r>
        <w:rPr>
          <w:rFonts w:hint="eastAsia" w:ascii="宋体" w:hAnsi="宋体" w:cs="方正楷体"/>
          <w:b/>
          <w:bCs/>
          <w:kern w:val="0"/>
          <w:szCs w:val="21"/>
        </w:rPr>
        <w:t>（2）规范工作标准。</w:t>
      </w:r>
      <w:r>
        <w:rPr>
          <w:rFonts w:hint="eastAsia" w:ascii="宋体" w:hAnsi="宋体" w:cs="方正楷体"/>
          <w:kern w:val="0"/>
          <w:szCs w:val="21"/>
        </w:rPr>
        <w:t>对乡镇统计站明确 八个有 标准，建立 八项制度 ，并对执行情况进行督导检查，对不合格单位限期整改。</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kern w:val="0"/>
          <w:szCs w:val="21"/>
        </w:rPr>
      </w:pPr>
      <w:r>
        <w:rPr>
          <w:rFonts w:hint="eastAsia" w:ascii="宋体" w:hAnsi="宋体" w:cs="方正楷体"/>
          <w:b/>
          <w:bCs/>
          <w:kern w:val="0"/>
          <w:szCs w:val="21"/>
        </w:rPr>
        <w:t>（3）规范指标设置。</w:t>
      </w:r>
      <w:r>
        <w:rPr>
          <w:rFonts w:hint="eastAsia" w:ascii="宋体" w:hAnsi="宋体" w:cs="方正楷体"/>
          <w:kern w:val="0"/>
          <w:szCs w:val="21"/>
        </w:rPr>
        <w:t>及时、系统、全面地跟踪反映社会经济发展，坚持与时俱进合理设置统计指标，科学构筑统计指标体系，为党委、政府科学决策提供丰富、翔实的量化依据。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kern w:val="0"/>
          <w:szCs w:val="21"/>
        </w:rPr>
      </w:pPr>
      <w:r>
        <w:rPr>
          <w:rFonts w:hint="eastAsia" w:ascii="宋体" w:hAnsi="宋体" w:cs="方正楷体"/>
          <w:b/>
          <w:bCs/>
          <w:kern w:val="0"/>
          <w:szCs w:val="21"/>
        </w:rPr>
        <w:t>（4）规范统计行为。</w:t>
      </w:r>
      <w:r>
        <w:rPr>
          <w:rFonts w:hint="eastAsia" w:ascii="宋体" w:hAnsi="宋体" w:cs="方正楷体"/>
          <w:kern w:val="0"/>
          <w:szCs w:val="21"/>
        </w:rPr>
        <w:t>拟以市政府名义出台《规范基层统计工作的通知》，协调部门专项统计，加强统计基础，规范全市统计工作。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kern w:val="0"/>
          <w:szCs w:val="21"/>
        </w:rPr>
      </w:pPr>
      <w:r>
        <w:rPr>
          <w:rFonts w:hint="eastAsia" w:ascii="宋体" w:hAnsi="宋体" w:cs="方正楷体"/>
          <w:kern w:val="0"/>
          <w:szCs w:val="21"/>
        </w:rPr>
        <w:t>2、建立责任化的数据控制体系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kern w:val="0"/>
          <w:szCs w:val="21"/>
        </w:rPr>
      </w:pPr>
      <w:r>
        <w:rPr>
          <w:rFonts w:hint="eastAsia" w:ascii="宋体" w:hAnsi="宋体" w:cs="方正楷体"/>
          <w:b/>
          <w:bCs/>
          <w:kern w:val="0"/>
          <w:szCs w:val="21"/>
        </w:rPr>
        <w:t>（1）实行数据质量层层负责制。</w:t>
      </w:r>
      <w:r>
        <w:rPr>
          <w:rFonts w:hint="eastAsia" w:ascii="宋体" w:hAnsi="宋体" w:cs="方正楷体"/>
          <w:kern w:val="0"/>
          <w:szCs w:val="21"/>
        </w:rPr>
        <w:t>发挥 企业一套表 责任明确的优势，不断提高数据质量作为统计部门的第一职责</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color w:val="000000"/>
          <w:kern w:val="0"/>
          <w:szCs w:val="21"/>
        </w:rPr>
      </w:pPr>
      <w:r>
        <w:rPr>
          <w:rFonts w:hint="eastAsia" w:ascii="宋体" w:hAnsi="宋体" w:cs="方正楷体"/>
          <w:b/>
          <w:bCs/>
          <w:color w:val="000000"/>
          <w:kern w:val="0"/>
          <w:szCs w:val="21"/>
        </w:rPr>
        <w:t>（2）</w:t>
      </w:r>
      <w:r>
        <w:rPr>
          <w:rFonts w:hint="eastAsia" w:ascii="宋体" w:hAnsi="宋体" w:cs="方正楷体"/>
          <w:b/>
          <w:bCs/>
          <w:kern w:val="0"/>
          <w:szCs w:val="21"/>
        </w:rPr>
        <w:t>落实数据联审责任制。</w:t>
      </w:r>
      <w:r>
        <w:rPr>
          <w:rFonts w:hint="eastAsia" w:ascii="宋体" w:hAnsi="宋体" w:cs="方正楷体"/>
          <w:color w:val="000000"/>
          <w:kern w:val="0"/>
          <w:szCs w:val="21"/>
        </w:rPr>
        <w:t>对固定资产投资、能源消耗、利用外资等重点指标的完成情况，坚持每季度与市直有关部门联合会审，并明确和落实各部门的责任。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kern w:val="0"/>
          <w:szCs w:val="21"/>
        </w:rPr>
      </w:pPr>
      <w:r>
        <w:rPr>
          <w:rFonts w:hint="eastAsia" w:ascii="宋体" w:hAnsi="宋体" w:cs="方正楷体"/>
          <w:b/>
          <w:bCs/>
          <w:kern w:val="0"/>
          <w:szCs w:val="21"/>
        </w:rPr>
        <w:t>（3）建立数据质量责任追究制度</w:t>
      </w:r>
      <w:r>
        <w:rPr>
          <w:rFonts w:hint="eastAsia" w:ascii="宋体" w:hAnsi="宋体" w:cs="方正楷体"/>
          <w:kern w:val="0"/>
          <w:szCs w:val="21"/>
        </w:rPr>
        <w:t>。制定统计数据质量责任事故追究办法，明确统计数据质量责任事故认定标准、责任事故追究形式，形成自我约束、自我监督的统计工作责任体系。</w:t>
      </w:r>
    </w:p>
    <w:p>
      <w:pPr>
        <w:widowControl/>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kern w:val="0"/>
          <w:szCs w:val="21"/>
        </w:rPr>
        <w:t>建立产品化的咨询服务体系。</w:t>
      </w:r>
      <w:r>
        <w:rPr>
          <w:rFonts w:hint="eastAsia" w:ascii="宋体" w:hAnsi="宋体" w:cs="方正楷体"/>
          <w:color w:val="000000"/>
          <w:kern w:val="0"/>
          <w:szCs w:val="21"/>
        </w:rPr>
        <w:t>积极提升服务理念，为领导决策提供全面的、能动的、高层次服务，实现统计咨询服务产品化。重点在用活统计数据、强化统计调研分析、为分层管理决策和社会公众提供优质服务上给力，在做精品、创品牌上下功夫。</w:t>
      </w:r>
    </w:p>
    <w:p>
      <w:pPr>
        <w:widowControl/>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color w:val="000000"/>
          <w:kern w:val="0"/>
          <w:szCs w:val="21"/>
        </w:rPr>
        <w:t>做好重要信息、统计资料和统计月报，编纂领导干部资料手册、统计年鉴、唐山统计和 十一五 经济资料汇编等资料。</w:t>
      </w:r>
    </w:p>
    <w:p>
      <w:pPr>
        <w:widowControl/>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color w:val="000000"/>
          <w:kern w:val="0"/>
          <w:szCs w:val="21"/>
        </w:rPr>
        <w:t>充实统计数据 资料库 ，确保经济发展到哪里统计服务就延伸到哪里。</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color w:val="000000"/>
          <w:kern w:val="0"/>
          <w:szCs w:val="21"/>
        </w:rPr>
        <w:t>（3）建立统计监测 直通车 ，在各县（市）区选择一至两个乡镇统计站、企业作为监测点，向市局直接报送统计分析，确保快捷有效。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kern w:val="0"/>
          <w:szCs w:val="21"/>
        </w:rPr>
        <w:t>（4）</w:t>
      </w:r>
      <w:r>
        <w:rPr>
          <w:rFonts w:hint="eastAsia" w:ascii="宋体" w:hAnsi="宋体" w:cs="方正楷体"/>
          <w:color w:val="000000"/>
          <w:kern w:val="0"/>
          <w:szCs w:val="21"/>
        </w:rPr>
        <w:t>成立统计咨询课题组，围绕经济生活中的重点、难点问题，开展专题分析研究，为各级领导决策提供精品服务。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kern w:val="0"/>
          <w:szCs w:val="21"/>
        </w:rPr>
        <w:t>（5）</w:t>
      </w:r>
      <w:r>
        <w:rPr>
          <w:rFonts w:hint="eastAsia" w:ascii="宋体" w:hAnsi="宋体" w:cs="方正楷体"/>
          <w:color w:val="000000"/>
          <w:kern w:val="0"/>
          <w:szCs w:val="21"/>
        </w:rPr>
        <w:t>加强统计调查和资料开发应用，并组织实施能源调查、居民幸福指数调查等工作，及时提出建议，服务好各级领导决策。</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kern w:val="0"/>
          <w:szCs w:val="21"/>
        </w:rPr>
      </w:pPr>
      <w:r>
        <w:rPr>
          <w:rFonts w:hint="eastAsia" w:ascii="宋体" w:hAnsi="宋体" w:cs="方正楷体"/>
          <w:kern w:val="0"/>
          <w:szCs w:val="21"/>
        </w:rPr>
        <w:t>（6）</w:t>
      </w:r>
      <w:r>
        <w:rPr>
          <w:rFonts w:hint="eastAsia" w:ascii="宋体" w:hAnsi="宋体" w:cs="方正楷体"/>
          <w:color w:val="000000"/>
          <w:kern w:val="0"/>
          <w:szCs w:val="21"/>
        </w:rPr>
        <w:t>延伸统计为民服务活动，利用统计数据和统计分析，为企业、为社会公众提供更有效的服务</w:t>
      </w:r>
      <w:r>
        <w:rPr>
          <w:rFonts w:hint="eastAsia" w:ascii="宋体" w:hAnsi="宋体" w:cs="方正楷体"/>
          <w:kern w:val="0"/>
          <w:szCs w:val="21"/>
        </w:rPr>
        <w:t>。</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kern w:val="0"/>
          <w:szCs w:val="21"/>
        </w:rPr>
      </w:pPr>
      <w:r>
        <w:rPr>
          <w:rFonts w:hint="eastAsia" w:ascii="宋体" w:hAnsi="宋体" w:cs="方正楷体"/>
          <w:kern w:val="0"/>
          <w:szCs w:val="21"/>
        </w:rPr>
        <w:t>4、建立科学化的制度方法体系。把统计改革作为推进统计科学发展的强大动力，积极探索统计制度方法改革的新路径。</w:t>
      </w:r>
      <w:r>
        <w:rPr>
          <w:rFonts w:hint="eastAsia" w:ascii="宋体" w:hAnsi="宋体" w:cs="方正楷体"/>
          <w:b/>
          <w:bCs/>
          <w:kern w:val="0"/>
          <w:szCs w:val="21"/>
        </w:rPr>
        <w:t>一方面，继续深化 企业一套表 改革。</w:t>
      </w:r>
      <w:r>
        <w:rPr>
          <w:rFonts w:hint="eastAsia" w:ascii="宋体" w:hAnsi="宋体" w:cs="方正楷体"/>
          <w:kern w:val="0"/>
          <w:szCs w:val="21"/>
        </w:rPr>
        <w:t>把 企业一套表 改革作为推进 四大工程 的龙头，积极配合省局做好 企业一套表 改革的推广工作，巩固 企业一套表 改革成果，及时发现、解决运行中存在的问题，完善系统平台；增加 一套表 汇总表、计算表的表式，逐步替代常规统计的程序；扩大贸易专业 企业一套表 的统计范围，增加规模以下单位的统计；把固定资产投资、服务业、劳资等专业纳入 企业一套表 试点，全面推广使用 企业一套表 系统；加强 企业一套表 运行管理，搞好数据的审核。</w:t>
      </w:r>
      <w:r>
        <w:rPr>
          <w:rFonts w:hint="eastAsia" w:ascii="宋体" w:hAnsi="宋体" w:cs="方正楷体"/>
          <w:b/>
          <w:bCs/>
          <w:kern w:val="0"/>
          <w:szCs w:val="21"/>
        </w:rPr>
        <w:t>另一方面，推动文化产业、服务业、贸易业等其它统计方法制度的改革创新。</w:t>
      </w:r>
      <w:r>
        <w:rPr>
          <w:rFonts w:hint="eastAsia" w:ascii="宋体" w:hAnsi="宋体" w:cs="方正楷体"/>
          <w:kern w:val="0"/>
          <w:szCs w:val="21"/>
        </w:rPr>
        <w:t>建立文化产业统计制度，推进服务业报表制度改革，开展贸易统计改革，继续做好规模以上个体户全面入统和完善限额以下商贸企业抽样调查工作。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kern w:val="0"/>
          <w:szCs w:val="21"/>
        </w:rPr>
        <w:t>5、建立现代化的信息传输体系。</w:t>
      </w:r>
      <w:r>
        <w:rPr>
          <w:rFonts w:hint="eastAsia" w:ascii="宋体" w:hAnsi="宋体" w:cs="方正楷体"/>
          <w:color w:val="000000"/>
          <w:kern w:val="0"/>
          <w:szCs w:val="21"/>
        </w:rPr>
        <w:t>把统计信息化建设纳入市县电子政务建设规划，按照相关要求，明确建设目标、建设任务和工作进度。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color w:val="000000"/>
          <w:kern w:val="0"/>
          <w:szCs w:val="21"/>
        </w:rPr>
      </w:pPr>
      <w:r>
        <w:rPr>
          <w:rFonts w:hint="eastAsia" w:ascii="宋体" w:hAnsi="宋体" w:cs="方正楷体"/>
          <w:b/>
          <w:bCs/>
          <w:kern w:val="0"/>
          <w:szCs w:val="21"/>
        </w:rPr>
        <w:t>（1）健全网络</w:t>
      </w:r>
      <w:r>
        <w:rPr>
          <w:rFonts w:hint="eastAsia" w:ascii="宋体" w:hAnsi="宋体" w:cs="方正楷体"/>
          <w:color w:val="000000"/>
          <w:kern w:val="0"/>
          <w:szCs w:val="21"/>
        </w:rPr>
        <w:t>。充分利用现有网络平台资源，改造升级省、市、县三级统计信息网络系统和信息安全系统，加快市-县间计算机网络扩容、改造工作的步伐。大规模提升乡镇（街道）统计站计算机和网络装备水平，并确保全市乡镇（街道）统计站人均拥有一台计算机。</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color w:val="000000"/>
          <w:kern w:val="0"/>
          <w:szCs w:val="21"/>
        </w:rPr>
      </w:pPr>
      <w:r>
        <w:rPr>
          <w:rFonts w:hint="eastAsia" w:ascii="宋体" w:hAnsi="宋体" w:cs="方正楷体"/>
          <w:b/>
          <w:bCs/>
          <w:kern w:val="0"/>
          <w:szCs w:val="21"/>
        </w:rPr>
        <w:t>（2）建设视频会议系统。</w:t>
      </w:r>
      <w:r>
        <w:rPr>
          <w:rFonts w:hint="eastAsia" w:ascii="宋体" w:hAnsi="宋体" w:cs="方正楷体"/>
          <w:color w:val="000000"/>
          <w:kern w:val="0"/>
          <w:szCs w:val="21"/>
        </w:rPr>
        <w:t>在市县之间建设视频会议系统</w:t>
      </w:r>
      <w:r>
        <w:rPr>
          <w:rFonts w:hint="eastAsia" w:ascii="宋体" w:hAnsi="宋体" w:cs="方正楷体"/>
          <w:b/>
          <w:bCs/>
          <w:kern w:val="0"/>
          <w:szCs w:val="21"/>
        </w:rPr>
        <w:t>，</w:t>
      </w:r>
      <w:r>
        <w:rPr>
          <w:rFonts w:hint="eastAsia" w:ascii="宋体" w:hAnsi="宋体" w:cs="方正楷体"/>
          <w:color w:val="000000"/>
          <w:kern w:val="0"/>
          <w:szCs w:val="21"/>
        </w:rPr>
        <w:t>力争上半年完成，确保视频会议系统使用的高效率、高质量、高标准。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kern w:val="0"/>
          <w:szCs w:val="21"/>
        </w:rPr>
        <w:t>6、建立强势化的统计执法体系。</w:t>
      </w:r>
      <w:r>
        <w:rPr>
          <w:rFonts w:hint="eastAsia" w:ascii="宋体" w:hAnsi="宋体" w:cs="方正楷体"/>
          <w:color w:val="000000"/>
          <w:kern w:val="0"/>
          <w:szCs w:val="21"/>
        </w:rPr>
        <w:t>加大统计法制贯彻执行的力度，力求做到 三个全覆盖 ：</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color w:val="000000"/>
          <w:kern w:val="0"/>
          <w:szCs w:val="21"/>
        </w:rPr>
      </w:pPr>
      <w:r>
        <w:rPr>
          <w:rFonts w:hint="eastAsia" w:ascii="宋体" w:hAnsi="宋体" w:cs="方正楷体"/>
          <w:b/>
          <w:bCs/>
          <w:kern w:val="0"/>
          <w:szCs w:val="21"/>
        </w:rPr>
        <w:t>（1）法制宣传全覆盖。</w:t>
      </w:r>
      <w:r>
        <w:rPr>
          <w:rFonts w:hint="eastAsia" w:ascii="宋体" w:hAnsi="宋体" w:cs="方正楷体"/>
          <w:color w:val="000000"/>
          <w:kern w:val="0"/>
          <w:szCs w:val="21"/>
        </w:rPr>
        <w:t>继续深入开展《统计违法违纪行为处分规定》和《统计法》宣传，采取办班宣传、借助媒体宣传、扩大网络宣传、印发 明白纸 宣传、组团宣传等多种方法，力求使社会各界对统计工作更加了解，对统计工作更加支持。</w:t>
      </w:r>
      <w:r>
        <w:rPr>
          <w:rFonts w:hint="eastAsia" w:ascii="宋体" w:hAnsi="宋体" w:cs="方正楷体"/>
          <w:b/>
          <w:bCs/>
          <w:kern w:val="0"/>
          <w:szCs w:val="21"/>
        </w:rPr>
        <w:t>（2）法制教育全覆盖。</w:t>
      </w:r>
      <w:r>
        <w:rPr>
          <w:rFonts w:hint="eastAsia" w:ascii="宋体" w:hAnsi="宋体" w:cs="方正楷体"/>
          <w:color w:val="000000"/>
          <w:kern w:val="0"/>
          <w:szCs w:val="21"/>
        </w:rPr>
        <w:t>除市局组织举办一次大型的法制培训班外，开展法制教育 五进 活动，即进课堂、进机关、进企业、进家庭、进基层，增强全社会依法统计意识，提高统计人员执法能力。</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方正楷体"/>
          <w:color w:val="000000"/>
          <w:kern w:val="0"/>
          <w:szCs w:val="21"/>
        </w:rPr>
      </w:pPr>
      <w:r>
        <w:rPr>
          <w:rFonts w:hint="eastAsia" w:ascii="宋体" w:hAnsi="宋体" w:cs="方正楷体"/>
          <w:b/>
          <w:bCs/>
          <w:kern w:val="0"/>
          <w:szCs w:val="21"/>
        </w:rPr>
        <w:t>（3）执法检查全覆盖。</w:t>
      </w:r>
      <w:r>
        <w:rPr>
          <w:rFonts w:hint="eastAsia" w:ascii="宋体" w:hAnsi="宋体" w:cs="方正楷体"/>
          <w:color w:val="000000"/>
          <w:kern w:val="0"/>
          <w:szCs w:val="21"/>
        </w:rPr>
        <w:t>把统计执法检查贯穿全年工作始终，执法范围覆盖到每个统计单位，定期开展专项统计执法检查、集中开展统计执法大检查，坚决查处瞒报、漏报、虚报、篡改等统计违法行为，积极创造良好的统计法制环境。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kern w:val="0"/>
          <w:szCs w:val="21"/>
        </w:rPr>
        <w:t>7、建立精细化的内部管理体系。</w:t>
      </w:r>
      <w:r>
        <w:rPr>
          <w:rFonts w:hint="eastAsia" w:ascii="宋体" w:hAnsi="宋体" w:cs="方正楷体"/>
          <w:b/>
          <w:bCs/>
          <w:kern w:val="0"/>
          <w:szCs w:val="21"/>
        </w:rPr>
        <w:t>推进干部管理精细化。</w:t>
      </w:r>
      <w:r>
        <w:rPr>
          <w:rFonts w:hint="eastAsia" w:ascii="宋体" w:hAnsi="宋体" w:cs="方正楷体"/>
          <w:color w:val="000000"/>
          <w:kern w:val="0"/>
          <w:szCs w:val="21"/>
        </w:rPr>
        <w:t>以推进学习型党组织建设、深化 创先争优 活动和 “五讲五提升 活动为抓手，具体打造学习型、服务型、创新型、规范型、示范型等 五型 团队，全面提高整体素质。</w:t>
      </w:r>
      <w:r>
        <w:rPr>
          <w:rFonts w:hint="eastAsia" w:ascii="宋体" w:hAnsi="宋体" w:cs="方正楷体"/>
          <w:b/>
          <w:bCs/>
          <w:kern w:val="0"/>
          <w:szCs w:val="21"/>
        </w:rPr>
        <w:t>推进工作管理精细化。</w:t>
      </w:r>
      <w:r>
        <w:rPr>
          <w:rFonts w:hint="eastAsia" w:ascii="宋体" w:hAnsi="宋体" w:cs="方正楷体"/>
          <w:color w:val="000000"/>
          <w:kern w:val="0"/>
          <w:szCs w:val="21"/>
        </w:rPr>
        <w:t>对各项工作制度进行全面梳理、完善，按照精简程序、理清环节、分清责任、明确标准的要求，细化工作标准，规范工作流程，制定出标准工作流程，使每一项工作都做到过程清晰、责任明确。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kern w:val="0"/>
          <w:szCs w:val="21"/>
        </w:rPr>
        <w:t>8、高质量完成人口普查和各项统计调查任务。</w:t>
      </w:r>
      <w:r>
        <w:rPr>
          <w:rFonts w:hint="eastAsia" w:ascii="宋体" w:hAnsi="宋体" w:cs="方正楷体"/>
          <w:color w:val="000000"/>
          <w:kern w:val="0"/>
          <w:szCs w:val="21"/>
        </w:rPr>
        <w:t>认真做好第六次全国人口普查后期工作。精心组织人口普查数据处理，逐级按时完成数据审核、校正和上报工作，加强数据质量控制，认真做好分地区、分结构指标数据的研究、评估和分析工作，切实加强普查表管理，做好人口普查主要数据发布、总结表彰工作。搞好普查资料开发应用，发挥普查资料价值和社会效益。扎实做好各项常规统计调查工作，坚持科学统计、依法统计，确保数据质量，反映经济社会发展实际。认真做好R&amp;D资源清查数据研究和资料开发等相关工作，建立第二次河北省R&amp;D资源清查数据库。</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方正楷体"/>
          <w:color w:val="000000"/>
          <w:kern w:val="0"/>
          <w:szCs w:val="21"/>
        </w:rPr>
      </w:pPr>
      <w:r>
        <w:rPr>
          <w:rFonts w:hint="eastAsia" w:ascii="宋体" w:hAnsi="宋体" w:cs="方正楷体"/>
          <w:color w:val="000000"/>
          <w:kern w:val="0"/>
          <w:szCs w:val="21"/>
        </w:rPr>
        <w:t>9、自2016年开展第三次全国农业普查工作。农业普查是一项重大国情国力调查，主要是为了清查农业、农村和农民基本情况，掌握农村土地流转、农业生产、新型农业经营主体，农业规模化和产业化等情况，反应农村发展新面貌和农村生活新变化，对科学制定“三农政策”。促进实现农业现代化、全面建设小康社会，具有十分重要意义。整个普查分为三个阶段：2016年为第三次全国农业普查准备阶段，主要包括：机构组建、试点、各种物资准备、制定普查实施方案、各项工作细则、前期宣传工作、 调查员选调、培训、小区划分等工作；2017年1月——10月为第二阶段，只要包括：普查入户登记、复查、编码、事后质量抽查等工作；2017年11月——2018年底为第三阶段，主要包括：数据处理、数据评估、数据发布、资料开发应用、总结表彰等工作。</w:t>
      </w:r>
    </w:p>
    <w:p>
      <w:pPr>
        <w:jc w:val="left"/>
        <w:rPr>
          <w:rFonts w:ascii="宋体" w:hAnsi="宋体"/>
          <w:b/>
          <w:color w:val="000000"/>
          <w:sz w:val="28"/>
        </w:rPr>
      </w:pPr>
      <w:r>
        <w:rPr>
          <w:rFonts w:ascii="宋体" w:hAnsi="宋体"/>
          <w:b/>
          <w:color w:val="000000"/>
          <w:sz w:val="28"/>
        </w:rPr>
        <w:t>五、唐山市统计局及其所属单位有关财政政策</w:t>
      </w:r>
    </w:p>
    <w:p>
      <w:pPr>
        <w:jc w:val="left"/>
        <w:rPr>
          <w:rFonts w:ascii="仿宋" w:hAnsi="仿宋" w:eastAsia="仿宋"/>
          <w:b/>
          <w:bCs/>
          <w:color w:val="000000"/>
          <w:sz w:val="28"/>
        </w:rPr>
      </w:pPr>
      <w:r>
        <w:rPr>
          <w:rFonts w:ascii="仿宋" w:hAnsi="仿宋" w:eastAsia="仿宋"/>
          <w:b/>
          <w:bCs/>
          <w:color w:val="000000"/>
          <w:sz w:val="28"/>
        </w:rPr>
        <w:t>（1）唐山市统计局为财政拨款的行政机关</w:t>
      </w:r>
    </w:p>
    <w:p>
      <w:pPr>
        <w:jc w:val="left"/>
        <w:rPr>
          <w:rFonts w:ascii="仿宋" w:hAnsi="仿宋" w:eastAsia="仿宋"/>
          <w:b/>
          <w:bCs/>
          <w:color w:val="000000"/>
          <w:sz w:val="28"/>
        </w:rPr>
      </w:pPr>
      <w:r>
        <w:rPr>
          <w:rFonts w:ascii="仿宋" w:hAnsi="仿宋" w:eastAsia="仿宋"/>
          <w:b/>
          <w:bCs/>
          <w:color w:val="000000"/>
          <w:sz w:val="28"/>
        </w:rPr>
        <w:t>（2）唐山市统计局（参公2户）为财政性资金基本保证经费的参公单位</w:t>
      </w:r>
    </w:p>
    <w:p>
      <w:pPr>
        <w:jc w:val="left"/>
        <w:rPr>
          <w:rFonts w:ascii="仿宋" w:hAnsi="仿宋" w:eastAsia="仿宋"/>
          <w:b/>
          <w:bCs/>
          <w:color w:val="000000"/>
          <w:sz w:val="28"/>
        </w:rPr>
      </w:pPr>
      <w:r>
        <w:rPr>
          <w:rFonts w:ascii="仿宋" w:hAnsi="仿宋" w:eastAsia="仿宋"/>
          <w:b/>
          <w:bCs/>
          <w:color w:val="000000"/>
          <w:sz w:val="28"/>
        </w:rPr>
        <w:t>（3）唐山市统计局数据管理中心为财政性资金基本保证经费的事业单位</w:t>
      </w:r>
    </w:p>
    <w:p>
      <w:pPr>
        <w:jc w:val="left"/>
        <w:sectPr>
          <w:footerReference r:id="rId10" w:type="default"/>
          <w:pgSz w:w="11906" w:h="16838"/>
          <w:pgMar w:top="1440" w:right="1800" w:bottom="1440" w:left="1800" w:header="851" w:footer="992" w:gutter="0"/>
          <w:pgNumType w:start="1"/>
          <w:cols w:space="720" w:num="1"/>
          <w:docGrid w:type="lines" w:linePitch="312"/>
        </w:sectPr>
      </w:pPr>
    </w:p>
    <w:p>
      <w:pPr>
        <w:pStyle w:val="10"/>
      </w:pPr>
      <w:bookmarkStart w:id="1" w:name="_Toc383873147"/>
      <w:bookmarkStart w:id="2" w:name="_Toc476153803"/>
      <w:r>
        <w:rPr>
          <w:rFonts w:hint="eastAsia"/>
        </w:rPr>
        <w:t>部门</w:t>
      </w:r>
      <w:bookmarkEnd w:id="1"/>
      <w:r>
        <w:rPr>
          <w:rFonts w:hint="eastAsia"/>
        </w:rPr>
        <w:t>职责-工作活动绩效目标</w:t>
      </w:r>
      <w:bookmarkEnd w:id="2"/>
      <w:r>
        <w:rPr>
          <w:rFonts w:hint="eastAsia"/>
          <w:sz w:val="28"/>
        </w:rPr>
        <w:t xml:space="preserve">                      </w:t>
      </w:r>
      <w:r>
        <w:t xml:space="preserve">                                                </w:t>
      </w:r>
    </w:p>
    <w:tbl>
      <w:tblPr>
        <w:tblW w:w="14745"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702"/>
        <w:gridCol w:w="1276"/>
        <w:gridCol w:w="3827"/>
        <w:gridCol w:w="2693"/>
        <w:gridCol w:w="1843"/>
        <w:gridCol w:w="851"/>
        <w:gridCol w:w="708"/>
        <w:gridCol w:w="851"/>
        <w:gridCol w:w="850"/>
        <w:gridCol w:w="144"/>
      </w:tblGrid>
      <w:tr>
        <w:trPr>
          <w:cantSplit/>
          <w:tblHeader/>
        </w:trPr>
        <w:tc>
          <w:tcPr>
            <w:tcW w:w="9498" w:type="dxa"/>
            <w:gridSpan w:val="4"/>
            <w:vAlign w:val="center"/>
          </w:tcPr>
          <w:p>
            <w:pPr>
              <w:widowControl/>
              <w:jc w:val="left"/>
              <w:rPr>
                <w:rFonts w:ascii="黑体" w:hAnsi="黑体" w:eastAsia="黑体" w:cs="Arial"/>
                <w:b/>
                <w:kern w:val="0"/>
                <w:szCs w:val="21"/>
              </w:rPr>
            </w:pPr>
            <w:r>
              <w:rPr>
                <w:rFonts w:ascii="宋体" w:hAnsi="宋体"/>
                <w:sz w:val="28"/>
              </w:rPr>
              <w:t>212唐山市统计局</w:t>
            </w:r>
          </w:p>
        </w:tc>
        <w:tc>
          <w:tcPr>
            <w:tcW w:w="5247" w:type="dxa"/>
            <w:gridSpan w:val="6"/>
            <w:vAlign w:val="center"/>
          </w:tcPr>
          <w:p>
            <w:pPr>
              <w:widowControl/>
              <w:jc w:val="right"/>
              <w:rPr>
                <w:rFonts w:ascii="黑体" w:hAnsi="黑体" w:eastAsia="黑体" w:cs="Arial"/>
                <w:b/>
                <w:kern w:val="0"/>
                <w:szCs w:val="21"/>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blHeader/>
        </w:trPr>
        <w:tc>
          <w:tcPr>
            <w:tcW w:w="1702"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职责活动</w:t>
            </w:r>
          </w:p>
        </w:tc>
        <w:tc>
          <w:tcPr>
            <w:tcW w:w="1276"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年度预算数</w:t>
            </w:r>
          </w:p>
        </w:tc>
        <w:tc>
          <w:tcPr>
            <w:tcW w:w="3827"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内容描述</w:t>
            </w:r>
          </w:p>
        </w:tc>
        <w:tc>
          <w:tcPr>
            <w:tcW w:w="2693"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绩效目标</w:t>
            </w:r>
          </w:p>
        </w:tc>
        <w:tc>
          <w:tcPr>
            <w:tcW w:w="1843"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绩效指标</w:t>
            </w:r>
          </w:p>
        </w:tc>
        <w:tc>
          <w:tcPr>
            <w:tcW w:w="3260" w:type="dxa"/>
            <w:gridSpan w:val="4"/>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rHeight w:val="312" w:hRule="atLeast"/>
          <w:tblHeader/>
        </w:trPr>
        <w:tc>
          <w:tcPr>
            <w:tcW w:w="1702" w:type="dxa"/>
            <w:vMerge w:val="continue"/>
            <w:vAlign w:val="center"/>
          </w:tcPr>
          <w:p>
            <w:pPr>
              <w:widowControl/>
              <w:jc w:val="center"/>
              <w:rPr>
                <w:rFonts w:ascii="黑体" w:hAnsi="黑体" w:eastAsia="黑体" w:cs="宋体"/>
                <w:b/>
                <w:bCs/>
                <w:color w:val="000000"/>
                <w:kern w:val="0"/>
                <w:szCs w:val="21"/>
              </w:rPr>
            </w:pPr>
          </w:p>
        </w:tc>
        <w:tc>
          <w:tcPr>
            <w:tcW w:w="1276" w:type="dxa"/>
            <w:vMerge w:val="continue"/>
            <w:vAlign w:val="center"/>
          </w:tcPr>
          <w:p>
            <w:pPr>
              <w:widowControl/>
              <w:jc w:val="center"/>
              <w:rPr>
                <w:rFonts w:ascii="黑体" w:hAnsi="黑体" w:eastAsia="黑体" w:cs="宋体"/>
                <w:b/>
                <w:bCs/>
                <w:color w:val="000000"/>
                <w:kern w:val="0"/>
                <w:szCs w:val="21"/>
              </w:rPr>
            </w:pPr>
          </w:p>
        </w:tc>
        <w:tc>
          <w:tcPr>
            <w:tcW w:w="3827" w:type="dxa"/>
            <w:vMerge w:val="continue"/>
            <w:vAlign w:val="center"/>
          </w:tcPr>
          <w:p>
            <w:pPr>
              <w:widowControl/>
              <w:jc w:val="center"/>
              <w:rPr>
                <w:rFonts w:ascii="黑体" w:hAnsi="黑体" w:eastAsia="黑体" w:cs="宋体"/>
                <w:b/>
                <w:bCs/>
                <w:color w:val="000000"/>
                <w:kern w:val="0"/>
                <w:szCs w:val="21"/>
              </w:rPr>
            </w:pPr>
          </w:p>
        </w:tc>
        <w:tc>
          <w:tcPr>
            <w:tcW w:w="2693" w:type="dxa"/>
            <w:vMerge w:val="continue"/>
            <w:vAlign w:val="center"/>
          </w:tcPr>
          <w:p>
            <w:pPr>
              <w:widowControl/>
              <w:jc w:val="center"/>
              <w:rPr>
                <w:rFonts w:ascii="黑体" w:hAnsi="黑体" w:eastAsia="黑体" w:cs="宋体"/>
                <w:b/>
                <w:bCs/>
                <w:color w:val="000000"/>
                <w:kern w:val="0"/>
                <w:szCs w:val="21"/>
              </w:rPr>
            </w:pPr>
          </w:p>
        </w:tc>
        <w:tc>
          <w:tcPr>
            <w:tcW w:w="1843" w:type="dxa"/>
            <w:vMerge w:val="continue"/>
            <w:vAlign w:val="center"/>
          </w:tcPr>
          <w:p>
            <w:pPr>
              <w:widowControl/>
              <w:jc w:val="center"/>
              <w:rPr>
                <w:rFonts w:ascii="黑体" w:hAnsi="黑体" w:eastAsia="黑体" w:cs="宋体"/>
                <w:b/>
                <w:bCs/>
                <w:color w:val="000000"/>
                <w:kern w:val="0"/>
                <w:szCs w:val="21"/>
              </w:rPr>
            </w:pPr>
          </w:p>
        </w:tc>
        <w:tc>
          <w:tcPr>
            <w:tcW w:w="851"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优</w:t>
            </w:r>
          </w:p>
        </w:tc>
        <w:tc>
          <w:tcPr>
            <w:tcW w:w="708"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良</w:t>
            </w:r>
          </w:p>
        </w:tc>
        <w:tc>
          <w:tcPr>
            <w:tcW w:w="851"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中</w:t>
            </w:r>
          </w:p>
        </w:tc>
        <w:tc>
          <w:tcPr>
            <w:tcW w:w="850"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Arial"/>
                <w:b/>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rHeight w:val="312" w:hRule="atLeast"/>
          <w:tblHeader/>
        </w:trPr>
        <w:tc>
          <w:tcPr>
            <w:tcW w:w="1702" w:type="dxa"/>
            <w:vMerge w:val="continue"/>
            <w:vAlign w:val="center"/>
          </w:tcPr>
          <w:p>
            <w:pPr>
              <w:widowControl/>
              <w:jc w:val="center"/>
              <w:rPr>
                <w:rFonts w:ascii="黑体" w:hAnsi="黑体" w:eastAsia="黑体" w:cs="宋体"/>
                <w:b/>
                <w:bCs/>
                <w:color w:val="000000"/>
                <w:kern w:val="0"/>
                <w:szCs w:val="21"/>
              </w:rPr>
            </w:pPr>
          </w:p>
        </w:tc>
        <w:tc>
          <w:tcPr>
            <w:tcW w:w="1276" w:type="dxa"/>
            <w:vMerge w:val="continue"/>
            <w:vAlign w:val="center"/>
          </w:tcPr>
          <w:p>
            <w:pPr>
              <w:widowControl/>
              <w:jc w:val="center"/>
              <w:rPr>
                <w:rFonts w:ascii="黑体" w:hAnsi="黑体" w:eastAsia="黑体" w:cs="宋体"/>
                <w:b/>
                <w:bCs/>
                <w:color w:val="000000"/>
                <w:kern w:val="0"/>
                <w:szCs w:val="21"/>
              </w:rPr>
            </w:pPr>
          </w:p>
        </w:tc>
        <w:tc>
          <w:tcPr>
            <w:tcW w:w="3827" w:type="dxa"/>
            <w:vMerge w:val="continue"/>
            <w:vAlign w:val="center"/>
          </w:tcPr>
          <w:p>
            <w:pPr>
              <w:widowControl/>
              <w:jc w:val="center"/>
              <w:rPr>
                <w:rFonts w:ascii="黑体" w:hAnsi="黑体" w:eastAsia="黑体" w:cs="宋体"/>
                <w:b/>
                <w:bCs/>
                <w:color w:val="000000"/>
                <w:kern w:val="0"/>
                <w:szCs w:val="21"/>
              </w:rPr>
            </w:pPr>
          </w:p>
        </w:tc>
        <w:tc>
          <w:tcPr>
            <w:tcW w:w="2693" w:type="dxa"/>
            <w:vMerge w:val="continue"/>
            <w:vAlign w:val="center"/>
          </w:tcPr>
          <w:p>
            <w:pPr>
              <w:widowControl/>
              <w:jc w:val="center"/>
              <w:rPr>
                <w:rFonts w:ascii="黑体" w:hAnsi="黑体" w:eastAsia="黑体" w:cs="宋体"/>
                <w:b/>
                <w:bCs/>
                <w:color w:val="000000"/>
                <w:kern w:val="0"/>
                <w:szCs w:val="21"/>
              </w:rPr>
            </w:pPr>
          </w:p>
        </w:tc>
        <w:tc>
          <w:tcPr>
            <w:tcW w:w="1843" w:type="dxa"/>
            <w:vMerge w:val="continue"/>
            <w:vAlign w:val="center"/>
          </w:tcPr>
          <w:p>
            <w:pPr>
              <w:widowControl/>
              <w:jc w:val="center"/>
              <w:rPr>
                <w:rFonts w:ascii="黑体" w:hAnsi="黑体" w:eastAsia="黑体" w:cs="宋体"/>
                <w:b/>
                <w:bCs/>
                <w:color w:val="000000"/>
                <w:kern w:val="0"/>
                <w:szCs w:val="21"/>
              </w:rPr>
            </w:pPr>
          </w:p>
        </w:tc>
        <w:tc>
          <w:tcPr>
            <w:tcW w:w="851" w:type="dxa"/>
            <w:vMerge w:val="continue"/>
            <w:vAlign w:val="center"/>
          </w:tcPr>
          <w:p>
            <w:pPr>
              <w:widowControl/>
              <w:jc w:val="center"/>
              <w:rPr>
                <w:rFonts w:ascii="黑体" w:hAnsi="黑体" w:eastAsia="黑体" w:cs="宋体"/>
                <w:b/>
                <w:bCs/>
                <w:color w:val="000000"/>
                <w:kern w:val="0"/>
                <w:szCs w:val="21"/>
              </w:rPr>
            </w:pPr>
          </w:p>
        </w:tc>
        <w:tc>
          <w:tcPr>
            <w:tcW w:w="708" w:type="dxa"/>
            <w:vMerge w:val="continue"/>
            <w:vAlign w:val="center"/>
          </w:tcPr>
          <w:p>
            <w:pPr>
              <w:widowControl/>
              <w:jc w:val="center"/>
              <w:rPr>
                <w:rFonts w:ascii="黑体" w:hAnsi="黑体" w:eastAsia="黑体" w:cs="宋体"/>
                <w:b/>
                <w:bCs/>
                <w:color w:val="000000"/>
                <w:kern w:val="0"/>
                <w:szCs w:val="21"/>
              </w:rPr>
            </w:pPr>
          </w:p>
        </w:tc>
        <w:tc>
          <w:tcPr>
            <w:tcW w:w="851" w:type="dxa"/>
            <w:vMerge w:val="continue"/>
            <w:vAlign w:val="center"/>
          </w:tcPr>
          <w:p>
            <w:pPr>
              <w:widowControl/>
              <w:jc w:val="center"/>
              <w:rPr>
                <w:rFonts w:ascii="黑体" w:hAnsi="黑体" w:eastAsia="黑体" w:cs="宋体"/>
                <w:b/>
                <w:bCs/>
                <w:color w:val="000000"/>
                <w:kern w:val="0"/>
                <w:szCs w:val="21"/>
              </w:rPr>
            </w:pPr>
          </w:p>
        </w:tc>
        <w:tc>
          <w:tcPr>
            <w:tcW w:w="850" w:type="dxa"/>
            <w:vMerge w:val="continue"/>
            <w:vAlign w:val="center"/>
          </w:tcPr>
          <w:p>
            <w:pPr>
              <w:widowControl/>
              <w:jc w:val="center"/>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rHeight w:val="312" w:hRule="atLeast"/>
          <w:tblHeader/>
        </w:trPr>
        <w:tc>
          <w:tcPr>
            <w:tcW w:w="1702" w:type="dxa"/>
            <w:vMerge w:val="continue"/>
            <w:vAlign w:val="center"/>
          </w:tcPr>
          <w:p>
            <w:pPr>
              <w:widowControl/>
              <w:jc w:val="center"/>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3827" w:type="dxa"/>
            <w:vMerge w:val="continue"/>
            <w:vAlign w:val="center"/>
          </w:tcPr>
          <w:p>
            <w:pPr>
              <w:widowControl/>
              <w:rPr>
                <w:rFonts w:ascii="宋体" w:hAnsi="宋体" w:cs="宋体"/>
                <w:color w:val="000000"/>
                <w:kern w:val="0"/>
                <w:szCs w:val="21"/>
              </w:rPr>
            </w:pPr>
          </w:p>
        </w:tc>
        <w:tc>
          <w:tcPr>
            <w:tcW w:w="2693" w:type="dxa"/>
            <w:vMerge w:val="continue"/>
            <w:vAlign w:val="center"/>
          </w:tcPr>
          <w:p>
            <w:pPr>
              <w:widowControl/>
              <w:rPr>
                <w:rFonts w:ascii="宋体" w:hAnsi="宋体" w:cs="宋体"/>
                <w:color w:val="000000"/>
                <w:kern w:val="0"/>
                <w:szCs w:val="21"/>
              </w:rPr>
            </w:pPr>
          </w:p>
        </w:tc>
        <w:tc>
          <w:tcPr>
            <w:tcW w:w="1843" w:type="dxa"/>
            <w:vMerge w:val="continue"/>
            <w:vAlign w:val="center"/>
          </w:tcPr>
          <w:p>
            <w:pPr>
              <w:widowControl/>
              <w:rPr>
                <w:rFonts w:ascii="宋体" w:hAnsi="宋体" w:cs="宋体"/>
                <w:color w:val="000000"/>
                <w:kern w:val="0"/>
                <w:szCs w:val="21"/>
              </w:rPr>
            </w:pPr>
          </w:p>
        </w:tc>
        <w:tc>
          <w:tcPr>
            <w:tcW w:w="851" w:type="dxa"/>
            <w:vMerge w:val="continue"/>
            <w:vAlign w:val="center"/>
          </w:tcPr>
          <w:p>
            <w:pPr>
              <w:widowControl/>
              <w:rPr>
                <w:rFonts w:ascii="宋体" w:hAnsi="宋体" w:cs="宋体"/>
                <w:color w:val="000000"/>
                <w:kern w:val="0"/>
                <w:szCs w:val="21"/>
              </w:rPr>
            </w:pPr>
          </w:p>
        </w:tc>
        <w:tc>
          <w:tcPr>
            <w:tcW w:w="708" w:type="dxa"/>
            <w:vMerge w:val="continue"/>
            <w:vAlign w:val="center"/>
          </w:tcPr>
          <w:p>
            <w:pPr>
              <w:widowControl/>
              <w:rPr>
                <w:rFonts w:ascii="宋体" w:hAnsi="宋体" w:cs="宋体"/>
                <w:color w:val="000000"/>
                <w:kern w:val="0"/>
                <w:szCs w:val="21"/>
              </w:rPr>
            </w:pPr>
          </w:p>
        </w:tc>
        <w:tc>
          <w:tcPr>
            <w:tcW w:w="851" w:type="dxa"/>
            <w:vMerge w:val="continue"/>
            <w:vAlign w:val="center"/>
          </w:tcPr>
          <w:p>
            <w:pPr>
              <w:widowControl/>
              <w:rPr>
                <w:rFonts w:ascii="宋体" w:hAnsi="宋体" w:cs="宋体"/>
                <w:color w:val="000000"/>
                <w:kern w:val="0"/>
                <w:szCs w:val="21"/>
              </w:rPr>
            </w:pPr>
          </w:p>
        </w:tc>
        <w:tc>
          <w:tcPr>
            <w:tcW w:w="850" w:type="dxa"/>
            <w:vMerge w:val="continue"/>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rHeight w:val="1600" w:hRule="exact"/>
        </w:trPr>
        <w:tc>
          <w:tcPr>
            <w:tcW w:w="170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统计调查</w:t>
            </w:r>
          </w:p>
        </w:tc>
        <w:tc>
          <w:tcPr>
            <w:tcW w:w="1276" w:type="dxa"/>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3827" w:type="dxa"/>
            <w:vAlign w:val="center"/>
          </w:tcPr>
          <w:p>
            <w:pPr>
              <w:widowControl/>
              <w:rPr>
                <w:rFonts w:ascii="宋体" w:hAnsi="宋体" w:cs="宋体"/>
                <w:color w:val="000000"/>
                <w:kern w:val="0"/>
                <w:szCs w:val="21"/>
              </w:rPr>
            </w:pPr>
            <w:r>
              <w:rPr>
                <w:rFonts w:hint="eastAsia" w:ascii="宋体" w:hAnsi="宋体" w:cs="宋体"/>
                <w:color w:val="000000"/>
                <w:kern w:val="0"/>
                <w:szCs w:val="21"/>
              </w:rPr>
              <w:t>组织国情国力普查和工业、农业、社会、教育、节能、卫生等涉及相关行业的专项统计调查监测，收集、整理统计数据，提供咨询建议。</w:t>
            </w:r>
          </w:p>
        </w:tc>
        <w:tc>
          <w:tcPr>
            <w:tcW w:w="2693" w:type="dxa"/>
            <w:vAlign w:val="center"/>
          </w:tcPr>
          <w:p>
            <w:pPr>
              <w:widowControl/>
              <w:rPr>
                <w:rFonts w:ascii="宋体" w:hAnsi="宋体" w:cs="宋体"/>
                <w:color w:val="000000"/>
                <w:kern w:val="0"/>
                <w:szCs w:val="21"/>
              </w:rPr>
            </w:pPr>
            <w:r>
              <w:rPr>
                <w:rFonts w:hint="eastAsia" w:ascii="宋体" w:hAnsi="宋体" w:cs="宋体"/>
                <w:color w:val="000000"/>
                <w:kern w:val="0"/>
                <w:szCs w:val="21"/>
              </w:rPr>
              <w:t>研究制定资料开发应用计划，进行业务培训，组织开展深层次课题研究，发布普查主要数据公报，完成普查工作总结和表彰。</w:t>
            </w:r>
          </w:p>
        </w:tc>
        <w:tc>
          <w:tcPr>
            <w:tcW w:w="1843" w:type="dxa"/>
            <w:vAlign w:val="center"/>
          </w:tcPr>
          <w:p>
            <w:pPr>
              <w:widowControl/>
              <w:rPr>
                <w:rFonts w:ascii="宋体" w:hAnsi="宋体" w:cs="宋体"/>
                <w:color w:val="000000"/>
                <w:kern w:val="0"/>
                <w:szCs w:val="21"/>
              </w:rPr>
            </w:pPr>
          </w:p>
        </w:tc>
        <w:tc>
          <w:tcPr>
            <w:tcW w:w="851" w:type="dxa"/>
            <w:vAlign w:val="center"/>
          </w:tcPr>
          <w:p>
            <w:pPr>
              <w:widowControl/>
              <w:rPr>
                <w:rFonts w:ascii="宋体" w:hAnsi="宋体" w:cs="宋体"/>
                <w:color w:val="000000"/>
                <w:kern w:val="0"/>
                <w:szCs w:val="21"/>
              </w:rPr>
            </w:pPr>
          </w:p>
        </w:tc>
        <w:tc>
          <w:tcPr>
            <w:tcW w:w="708" w:type="dxa"/>
            <w:vAlign w:val="center"/>
          </w:tcPr>
          <w:p>
            <w:pPr>
              <w:widowControl/>
              <w:rPr>
                <w:rFonts w:ascii="宋体" w:hAnsi="宋体" w:cs="宋体"/>
                <w:color w:val="000000"/>
                <w:kern w:val="0"/>
                <w:szCs w:val="21"/>
              </w:rPr>
            </w:pPr>
          </w:p>
        </w:tc>
        <w:tc>
          <w:tcPr>
            <w:tcW w:w="851" w:type="dxa"/>
            <w:vAlign w:val="center"/>
          </w:tcPr>
          <w:p>
            <w:pPr>
              <w:widowControl/>
              <w:rPr>
                <w:rFonts w:ascii="宋体" w:hAnsi="宋体" w:cs="宋体"/>
                <w:color w:val="000000"/>
                <w:kern w:val="0"/>
                <w:szCs w:val="21"/>
              </w:rPr>
            </w:pPr>
          </w:p>
        </w:tc>
        <w:tc>
          <w:tcPr>
            <w:tcW w:w="850" w:type="dxa"/>
            <w:vAlign w:val="center"/>
          </w:tcPr>
          <w:p>
            <w:pPr>
              <w:widowControl/>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rHeight w:val="1280" w:hRule="exact"/>
        </w:trPr>
        <w:tc>
          <w:tcPr>
            <w:tcW w:w="1702"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专项统计调查</w:t>
            </w:r>
          </w:p>
        </w:tc>
        <w:tc>
          <w:tcPr>
            <w:tcW w:w="1276" w:type="dxa"/>
            <w:vMerge w:val="restart"/>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3827" w:type="dxa"/>
            <w:vMerge w:val="restart"/>
            <w:vAlign w:val="center"/>
          </w:tcPr>
          <w:p>
            <w:pPr>
              <w:widowControl/>
              <w:rPr>
                <w:rFonts w:ascii="宋体" w:hAnsi="宋体" w:cs="宋体"/>
                <w:color w:val="000000"/>
                <w:kern w:val="0"/>
                <w:szCs w:val="21"/>
              </w:rPr>
            </w:pPr>
            <w:r>
              <w:rPr>
                <w:rFonts w:hint="eastAsia" w:ascii="宋体" w:hAnsi="宋体" w:cs="宋体"/>
                <w:color w:val="000000"/>
                <w:kern w:val="0"/>
                <w:szCs w:val="21"/>
              </w:rPr>
              <w:t>根据部门职责及《中华人民共和国统计法》和国家统计局、市、市政府有关文件要求，组织实施涉及相关行业数据的专项统计调查。</w:t>
            </w:r>
            <w:r>
              <w:rPr>
                <w:rFonts w:ascii="宋体" w:hAnsi="宋体" w:cs="宋体"/>
                <w:color w:val="000000"/>
                <w:kern w:val="0"/>
                <w:szCs w:val="21"/>
              </w:rPr>
              <w:t xml:space="preserve">             </w:t>
            </w:r>
          </w:p>
        </w:tc>
        <w:tc>
          <w:tcPr>
            <w:tcW w:w="2693" w:type="dxa"/>
            <w:vMerge w:val="restart"/>
            <w:vAlign w:val="center"/>
          </w:tcPr>
          <w:p>
            <w:pPr>
              <w:widowControl/>
              <w:rPr>
                <w:rFonts w:ascii="宋体" w:hAnsi="宋体" w:cs="宋体"/>
                <w:color w:val="000000"/>
                <w:kern w:val="0"/>
                <w:szCs w:val="21"/>
              </w:rPr>
            </w:pPr>
            <w:r>
              <w:rPr>
                <w:rFonts w:hint="eastAsia" w:ascii="宋体" w:hAnsi="宋体" w:cs="宋体"/>
                <w:color w:val="000000"/>
                <w:kern w:val="0"/>
                <w:szCs w:val="21"/>
              </w:rPr>
              <w:t>自</w:t>
            </w:r>
            <w:r>
              <w:rPr>
                <w:rFonts w:ascii="宋体" w:hAnsi="宋体" w:cs="宋体"/>
                <w:color w:val="000000"/>
                <w:kern w:val="0"/>
                <w:szCs w:val="21"/>
              </w:rPr>
              <w:t>2016至2018年，开展第三次农业普查，查清农业、农村、农民基本情况</w:t>
            </w:r>
          </w:p>
        </w:tc>
        <w:tc>
          <w:tcPr>
            <w:tcW w:w="1843" w:type="dxa"/>
            <w:vAlign w:val="center"/>
          </w:tcPr>
          <w:p>
            <w:pPr>
              <w:widowControl/>
              <w:rPr>
                <w:rFonts w:ascii="宋体" w:hAnsi="宋体" w:cs="宋体"/>
                <w:color w:val="000000"/>
                <w:kern w:val="0"/>
                <w:szCs w:val="21"/>
              </w:rPr>
            </w:pPr>
            <w:r>
              <w:rPr>
                <w:rFonts w:hint="eastAsia" w:ascii="宋体" w:hAnsi="宋体" w:cs="宋体"/>
                <w:color w:val="000000"/>
                <w:kern w:val="0"/>
                <w:szCs w:val="21"/>
              </w:rPr>
              <w:t>农业普查</w:t>
            </w:r>
            <w:r>
              <w:rPr>
                <w:rFonts w:ascii="宋体" w:hAnsi="宋体" w:cs="宋体"/>
                <w:color w:val="000000"/>
                <w:kern w:val="0"/>
                <w:szCs w:val="21"/>
              </w:rPr>
              <w:t>2017年需要经费155万元</w:t>
            </w:r>
          </w:p>
        </w:tc>
        <w:tc>
          <w:tcPr>
            <w:tcW w:w="851" w:type="dxa"/>
            <w:vAlign w:val="center"/>
          </w:tcPr>
          <w:p>
            <w:pPr>
              <w:widowControl/>
              <w:rPr>
                <w:rFonts w:ascii="宋体" w:hAnsi="宋体" w:cs="宋体"/>
                <w:color w:val="000000"/>
                <w:kern w:val="0"/>
                <w:szCs w:val="21"/>
              </w:rPr>
            </w:pPr>
            <w:r>
              <w:rPr>
                <w:rFonts w:hint="eastAsia" w:ascii="宋体" w:hAnsi="宋体" w:cs="宋体"/>
                <w:color w:val="000000"/>
                <w:kern w:val="0"/>
                <w:szCs w:val="21"/>
              </w:rPr>
              <w:t>不超预算支出</w:t>
            </w:r>
          </w:p>
        </w:tc>
        <w:tc>
          <w:tcPr>
            <w:tcW w:w="708" w:type="dxa"/>
            <w:vAlign w:val="center"/>
          </w:tcPr>
          <w:p>
            <w:pPr>
              <w:widowControl/>
              <w:rPr>
                <w:rFonts w:ascii="宋体" w:hAnsi="宋体" w:cs="宋体"/>
                <w:color w:val="000000"/>
                <w:kern w:val="0"/>
                <w:szCs w:val="21"/>
              </w:rPr>
            </w:pPr>
            <w:r>
              <w:rPr>
                <w:rFonts w:hint="eastAsia" w:ascii="宋体" w:hAnsi="宋体" w:cs="宋体"/>
                <w:color w:val="000000"/>
                <w:kern w:val="0"/>
                <w:szCs w:val="21"/>
              </w:rPr>
              <w:t>超预算支出</w:t>
            </w:r>
            <w:r>
              <w:rPr>
                <w:rFonts w:ascii="宋体" w:hAnsi="宋体" w:cs="宋体"/>
                <w:color w:val="000000"/>
                <w:kern w:val="0"/>
                <w:szCs w:val="21"/>
              </w:rPr>
              <w:t>10%</w:t>
            </w:r>
          </w:p>
        </w:tc>
        <w:tc>
          <w:tcPr>
            <w:tcW w:w="851" w:type="dxa"/>
            <w:vAlign w:val="center"/>
          </w:tcPr>
          <w:p>
            <w:pPr>
              <w:widowControl/>
              <w:rPr>
                <w:rFonts w:ascii="宋体" w:hAnsi="宋体" w:cs="宋体"/>
                <w:color w:val="000000"/>
                <w:kern w:val="0"/>
                <w:szCs w:val="21"/>
              </w:rPr>
            </w:pPr>
            <w:r>
              <w:rPr>
                <w:rFonts w:hint="eastAsia" w:ascii="宋体" w:hAnsi="宋体" w:cs="宋体"/>
                <w:color w:val="000000"/>
                <w:kern w:val="0"/>
                <w:szCs w:val="21"/>
              </w:rPr>
              <w:t>超出预算支出</w:t>
            </w:r>
            <w:r>
              <w:rPr>
                <w:rFonts w:ascii="宋体" w:hAnsi="宋体" w:cs="宋体"/>
                <w:color w:val="000000"/>
                <w:kern w:val="0"/>
                <w:szCs w:val="21"/>
              </w:rPr>
              <w:t>20%</w:t>
            </w:r>
          </w:p>
        </w:tc>
        <w:tc>
          <w:tcPr>
            <w:tcW w:w="850" w:type="dxa"/>
            <w:vAlign w:val="center"/>
          </w:tcPr>
          <w:p>
            <w:pPr>
              <w:widowControl/>
              <w:rPr>
                <w:rFonts w:ascii="宋体" w:hAnsi="宋体" w:cs="宋体"/>
                <w:color w:val="000000"/>
                <w:kern w:val="0"/>
                <w:szCs w:val="21"/>
              </w:rPr>
            </w:pPr>
            <w:r>
              <w:rPr>
                <w:rFonts w:hint="eastAsia" w:ascii="宋体" w:hAnsi="宋体" w:cs="宋体"/>
                <w:color w:val="000000"/>
                <w:kern w:val="0"/>
                <w:szCs w:val="21"/>
              </w:rPr>
              <w:t>超出预算支出</w:t>
            </w:r>
            <w:r>
              <w:rPr>
                <w:rFonts w:ascii="宋体" w:hAnsi="宋体" w:cs="宋体"/>
                <w:color w:val="000000"/>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rHeight w:val="2240" w:hRule="exact"/>
        </w:trPr>
        <w:tc>
          <w:tcPr>
            <w:tcW w:w="1702" w:type="dxa"/>
            <w:vMerge w:val="continue"/>
            <w:vAlign w:val="center"/>
          </w:tcPr>
          <w:p>
            <w:pPr>
              <w:widowControl/>
              <w:jc w:val="center"/>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3827" w:type="dxa"/>
            <w:vMerge w:val="continue"/>
            <w:vAlign w:val="center"/>
          </w:tcPr>
          <w:p>
            <w:pPr>
              <w:widowControl/>
              <w:rPr>
                <w:rFonts w:ascii="宋体" w:hAnsi="宋体" w:cs="宋体"/>
                <w:color w:val="000000"/>
                <w:kern w:val="0"/>
                <w:szCs w:val="21"/>
              </w:rPr>
            </w:pPr>
          </w:p>
        </w:tc>
        <w:tc>
          <w:tcPr>
            <w:tcW w:w="2693" w:type="dxa"/>
            <w:vMerge w:val="continue"/>
            <w:vAlign w:val="center"/>
          </w:tcPr>
          <w:p>
            <w:pPr>
              <w:widowControl/>
              <w:rPr>
                <w:rFonts w:ascii="宋体" w:hAnsi="宋体" w:cs="宋体"/>
                <w:color w:val="000000"/>
                <w:kern w:val="0"/>
                <w:szCs w:val="21"/>
              </w:rPr>
            </w:pPr>
          </w:p>
        </w:tc>
        <w:tc>
          <w:tcPr>
            <w:tcW w:w="1843" w:type="dxa"/>
            <w:vAlign w:val="center"/>
          </w:tcPr>
          <w:p>
            <w:pPr>
              <w:widowControl/>
              <w:rPr>
                <w:rFonts w:ascii="宋体" w:hAnsi="宋体" w:cs="宋体"/>
                <w:color w:val="000000"/>
                <w:kern w:val="0"/>
                <w:szCs w:val="21"/>
              </w:rPr>
            </w:pPr>
            <w:r>
              <w:rPr>
                <w:rFonts w:hint="eastAsia" w:ascii="宋体" w:hAnsi="宋体" w:cs="宋体"/>
                <w:color w:val="000000"/>
                <w:kern w:val="0"/>
                <w:szCs w:val="21"/>
              </w:rPr>
              <w:t>宣传工作得到广大群众的认可；正式登记得到普查对象的认可</w:t>
            </w:r>
          </w:p>
        </w:tc>
        <w:tc>
          <w:tcPr>
            <w:tcW w:w="851" w:type="dxa"/>
            <w:vAlign w:val="center"/>
          </w:tcPr>
          <w:p>
            <w:pPr>
              <w:widowControl/>
              <w:rPr>
                <w:rFonts w:ascii="宋体" w:hAnsi="宋体" w:cs="宋体"/>
                <w:color w:val="000000"/>
                <w:kern w:val="0"/>
                <w:szCs w:val="21"/>
              </w:rPr>
            </w:pPr>
            <w:r>
              <w:rPr>
                <w:rFonts w:hint="eastAsia" w:ascii="宋体" w:hAnsi="宋体" w:cs="宋体"/>
                <w:color w:val="000000"/>
                <w:kern w:val="0"/>
                <w:szCs w:val="21"/>
              </w:rPr>
              <w:t>各项工作认可度达到</w:t>
            </w:r>
            <w:r>
              <w:rPr>
                <w:rFonts w:ascii="宋体" w:hAnsi="宋体" w:cs="宋体"/>
                <w:color w:val="000000"/>
                <w:kern w:val="0"/>
                <w:szCs w:val="21"/>
              </w:rPr>
              <w:t>95%以上</w:t>
            </w:r>
          </w:p>
        </w:tc>
        <w:tc>
          <w:tcPr>
            <w:tcW w:w="708" w:type="dxa"/>
            <w:vAlign w:val="center"/>
          </w:tcPr>
          <w:p>
            <w:pPr>
              <w:widowControl/>
              <w:rPr>
                <w:rFonts w:ascii="宋体" w:hAnsi="宋体" w:cs="宋体"/>
                <w:color w:val="000000"/>
                <w:kern w:val="0"/>
                <w:szCs w:val="21"/>
              </w:rPr>
            </w:pPr>
            <w:r>
              <w:rPr>
                <w:rFonts w:hint="eastAsia" w:ascii="宋体" w:hAnsi="宋体" w:cs="宋体"/>
                <w:color w:val="000000"/>
                <w:kern w:val="0"/>
                <w:szCs w:val="21"/>
              </w:rPr>
              <w:t>各项工作认可度达到</w:t>
            </w:r>
            <w:r>
              <w:rPr>
                <w:rFonts w:ascii="宋体" w:hAnsi="宋体" w:cs="宋体"/>
                <w:color w:val="000000"/>
                <w:kern w:val="0"/>
                <w:szCs w:val="21"/>
              </w:rPr>
              <w:t>85%以上</w:t>
            </w:r>
          </w:p>
        </w:tc>
        <w:tc>
          <w:tcPr>
            <w:tcW w:w="851" w:type="dxa"/>
            <w:vAlign w:val="center"/>
          </w:tcPr>
          <w:p>
            <w:pPr>
              <w:widowControl/>
              <w:rPr>
                <w:rFonts w:ascii="宋体" w:hAnsi="宋体" w:cs="宋体"/>
                <w:color w:val="000000"/>
                <w:kern w:val="0"/>
                <w:szCs w:val="21"/>
              </w:rPr>
            </w:pPr>
            <w:r>
              <w:rPr>
                <w:rFonts w:hint="eastAsia" w:ascii="宋体" w:hAnsi="宋体" w:cs="宋体"/>
                <w:color w:val="000000"/>
                <w:kern w:val="0"/>
                <w:szCs w:val="21"/>
              </w:rPr>
              <w:t>各项工作认可度达到</w:t>
            </w:r>
            <w:r>
              <w:rPr>
                <w:rFonts w:ascii="宋体" w:hAnsi="宋体" w:cs="宋体"/>
                <w:color w:val="000000"/>
                <w:kern w:val="0"/>
                <w:szCs w:val="21"/>
              </w:rPr>
              <w:t>75%以上</w:t>
            </w:r>
          </w:p>
        </w:tc>
        <w:tc>
          <w:tcPr>
            <w:tcW w:w="850" w:type="dxa"/>
            <w:vAlign w:val="center"/>
          </w:tcPr>
          <w:p>
            <w:pPr>
              <w:widowControl/>
              <w:rPr>
                <w:rFonts w:ascii="宋体" w:hAnsi="宋体" w:cs="宋体"/>
                <w:color w:val="000000"/>
                <w:kern w:val="0"/>
                <w:szCs w:val="21"/>
              </w:rPr>
            </w:pPr>
            <w:r>
              <w:rPr>
                <w:rFonts w:hint="eastAsia" w:ascii="宋体" w:hAnsi="宋体" w:cs="宋体"/>
                <w:color w:val="000000"/>
                <w:kern w:val="0"/>
                <w:szCs w:val="21"/>
              </w:rPr>
              <w:t>各项工作认可度达到</w:t>
            </w:r>
            <w:r>
              <w:rPr>
                <w:rFonts w:ascii="宋体" w:hAnsi="宋体" w:cs="宋体"/>
                <w:color w:val="000000"/>
                <w:kern w:val="0"/>
                <w:szCs w:val="21"/>
              </w:rPr>
              <w:t>65%以上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rHeight w:val="1920" w:hRule="exact"/>
        </w:trPr>
        <w:tc>
          <w:tcPr>
            <w:tcW w:w="1702" w:type="dxa"/>
            <w:vMerge w:val="restar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专项统计调查</w:t>
            </w:r>
          </w:p>
        </w:tc>
        <w:tc>
          <w:tcPr>
            <w:tcW w:w="1276" w:type="dxa"/>
            <w:vMerge w:val="restart"/>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3827" w:type="dxa"/>
            <w:vMerge w:val="restart"/>
            <w:vAlign w:val="center"/>
          </w:tcPr>
          <w:p>
            <w:pPr>
              <w:widowControl/>
              <w:rPr>
                <w:rFonts w:ascii="宋体" w:hAnsi="宋体" w:cs="宋体"/>
                <w:color w:val="000000"/>
                <w:kern w:val="0"/>
                <w:szCs w:val="21"/>
              </w:rPr>
            </w:pPr>
            <w:r>
              <w:rPr>
                <w:rFonts w:hint="eastAsia" w:ascii="宋体" w:hAnsi="宋体" w:cs="宋体"/>
                <w:color w:val="000000"/>
                <w:kern w:val="0"/>
                <w:szCs w:val="21"/>
              </w:rPr>
              <w:t>根据部门职责及《中华人民共和国统计法》和国家统计局、市、市政府有关文件要求，组织实施涉及相关行业数据的专项统计调查。</w:t>
            </w:r>
            <w:r>
              <w:rPr>
                <w:rFonts w:ascii="宋体" w:hAnsi="宋体" w:cs="宋体"/>
                <w:color w:val="000000"/>
                <w:kern w:val="0"/>
                <w:szCs w:val="21"/>
              </w:rPr>
              <w:t xml:space="preserve">             </w:t>
            </w:r>
          </w:p>
        </w:tc>
        <w:tc>
          <w:tcPr>
            <w:tcW w:w="2693" w:type="dxa"/>
            <w:vMerge w:val="restart"/>
            <w:vAlign w:val="center"/>
          </w:tcPr>
          <w:p>
            <w:pPr>
              <w:widowControl/>
              <w:rPr>
                <w:rFonts w:ascii="宋体" w:hAnsi="宋体" w:cs="宋体"/>
                <w:color w:val="000000"/>
                <w:kern w:val="0"/>
                <w:szCs w:val="21"/>
              </w:rPr>
            </w:pPr>
            <w:r>
              <w:rPr>
                <w:rFonts w:hint="eastAsia" w:ascii="宋体" w:hAnsi="宋体" w:cs="宋体"/>
                <w:color w:val="000000"/>
                <w:kern w:val="0"/>
                <w:szCs w:val="21"/>
              </w:rPr>
              <w:t>自</w:t>
            </w:r>
            <w:r>
              <w:rPr>
                <w:rFonts w:ascii="宋体" w:hAnsi="宋体" w:cs="宋体"/>
                <w:color w:val="000000"/>
                <w:kern w:val="0"/>
                <w:szCs w:val="21"/>
              </w:rPr>
              <w:t>2016至2018年，开展第三次农业普查，查清农业、农村、农民基本情况</w:t>
            </w:r>
          </w:p>
        </w:tc>
        <w:tc>
          <w:tcPr>
            <w:tcW w:w="1843" w:type="dxa"/>
            <w:vAlign w:val="center"/>
          </w:tcPr>
          <w:p>
            <w:pPr>
              <w:widowControl/>
              <w:rPr>
                <w:rFonts w:ascii="宋体" w:hAnsi="宋体" w:cs="宋体"/>
                <w:color w:val="000000"/>
                <w:kern w:val="0"/>
                <w:szCs w:val="21"/>
              </w:rPr>
            </w:pPr>
            <w:r>
              <w:rPr>
                <w:rFonts w:hint="eastAsia" w:ascii="宋体" w:hAnsi="宋体" w:cs="宋体"/>
                <w:color w:val="000000"/>
                <w:kern w:val="0"/>
                <w:szCs w:val="21"/>
              </w:rPr>
              <w:t>宣传工作覆盖全市</w:t>
            </w:r>
          </w:p>
        </w:tc>
        <w:tc>
          <w:tcPr>
            <w:tcW w:w="851" w:type="dxa"/>
            <w:vAlign w:val="center"/>
          </w:tcPr>
          <w:p>
            <w:pPr>
              <w:widowControl/>
              <w:rPr>
                <w:rFonts w:ascii="宋体" w:hAnsi="宋体" w:cs="宋体"/>
                <w:color w:val="000000"/>
                <w:kern w:val="0"/>
                <w:szCs w:val="21"/>
              </w:rPr>
            </w:pPr>
            <w:r>
              <w:rPr>
                <w:rFonts w:hint="eastAsia" w:ascii="宋体" w:hAnsi="宋体" w:cs="宋体"/>
                <w:color w:val="000000"/>
                <w:kern w:val="0"/>
                <w:szCs w:val="21"/>
              </w:rPr>
              <w:t>宣传范围达到全市</w:t>
            </w:r>
            <w:r>
              <w:rPr>
                <w:rFonts w:ascii="宋体" w:hAnsi="宋体" w:cs="宋体"/>
                <w:color w:val="000000"/>
                <w:kern w:val="0"/>
                <w:szCs w:val="21"/>
              </w:rPr>
              <w:t>95%以上</w:t>
            </w:r>
          </w:p>
        </w:tc>
        <w:tc>
          <w:tcPr>
            <w:tcW w:w="708" w:type="dxa"/>
            <w:vAlign w:val="center"/>
          </w:tcPr>
          <w:p>
            <w:pPr>
              <w:widowControl/>
              <w:rPr>
                <w:rFonts w:ascii="宋体" w:hAnsi="宋体" w:cs="宋体"/>
                <w:color w:val="000000"/>
                <w:kern w:val="0"/>
                <w:szCs w:val="21"/>
              </w:rPr>
            </w:pPr>
            <w:r>
              <w:rPr>
                <w:rFonts w:hint="eastAsia" w:ascii="宋体" w:hAnsi="宋体" w:cs="宋体"/>
                <w:color w:val="000000"/>
                <w:kern w:val="0"/>
                <w:szCs w:val="21"/>
              </w:rPr>
              <w:t>宣传范围达到全市</w:t>
            </w:r>
            <w:r>
              <w:rPr>
                <w:rFonts w:ascii="宋体" w:hAnsi="宋体" w:cs="宋体"/>
                <w:color w:val="000000"/>
                <w:kern w:val="0"/>
                <w:szCs w:val="21"/>
              </w:rPr>
              <w:t>85%以上</w:t>
            </w:r>
          </w:p>
        </w:tc>
        <w:tc>
          <w:tcPr>
            <w:tcW w:w="851" w:type="dxa"/>
            <w:vAlign w:val="center"/>
          </w:tcPr>
          <w:p>
            <w:pPr>
              <w:widowControl/>
              <w:rPr>
                <w:rFonts w:ascii="宋体" w:hAnsi="宋体" w:cs="宋体"/>
                <w:color w:val="000000"/>
                <w:kern w:val="0"/>
                <w:szCs w:val="21"/>
              </w:rPr>
            </w:pPr>
            <w:r>
              <w:rPr>
                <w:rFonts w:hint="eastAsia" w:ascii="宋体" w:hAnsi="宋体" w:cs="宋体"/>
                <w:color w:val="000000"/>
                <w:kern w:val="0"/>
                <w:szCs w:val="21"/>
              </w:rPr>
              <w:t>宣传范围达到全市</w:t>
            </w:r>
            <w:r>
              <w:rPr>
                <w:rFonts w:ascii="宋体" w:hAnsi="宋体" w:cs="宋体"/>
                <w:color w:val="000000"/>
                <w:kern w:val="0"/>
                <w:szCs w:val="21"/>
              </w:rPr>
              <w:t>75%以上</w:t>
            </w:r>
          </w:p>
        </w:tc>
        <w:tc>
          <w:tcPr>
            <w:tcW w:w="850" w:type="dxa"/>
            <w:vAlign w:val="center"/>
          </w:tcPr>
          <w:p>
            <w:pPr>
              <w:widowControl/>
              <w:rPr>
                <w:rFonts w:ascii="宋体" w:hAnsi="宋体" w:cs="宋体"/>
                <w:color w:val="000000"/>
                <w:kern w:val="0"/>
                <w:szCs w:val="21"/>
              </w:rPr>
            </w:pPr>
            <w:r>
              <w:rPr>
                <w:rFonts w:hint="eastAsia" w:ascii="宋体" w:hAnsi="宋体" w:cs="宋体"/>
                <w:color w:val="000000"/>
                <w:kern w:val="0"/>
                <w:szCs w:val="21"/>
              </w:rPr>
              <w:t>宣传范围达到全市</w:t>
            </w:r>
            <w:r>
              <w:rPr>
                <w:rFonts w:ascii="宋体" w:hAnsi="宋体" w:cs="宋体"/>
                <w:color w:val="000000"/>
                <w:kern w:val="0"/>
                <w:szCs w:val="21"/>
              </w:rPr>
              <w:t>65%以上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44" w:type="dxa"/>
          <w:cantSplit/>
          <w:trHeight w:val="1920" w:hRule="exact"/>
        </w:trPr>
        <w:tc>
          <w:tcPr>
            <w:tcW w:w="1702" w:type="dxa"/>
            <w:vMerge w:val="continue"/>
            <w:vAlign w:val="center"/>
          </w:tcPr>
          <w:p>
            <w:pPr>
              <w:widowControl/>
              <w:jc w:val="center"/>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3827" w:type="dxa"/>
            <w:vMerge w:val="continue"/>
            <w:vAlign w:val="center"/>
          </w:tcPr>
          <w:p>
            <w:pPr>
              <w:widowControl/>
              <w:rPr>
                <w:rFonts w:ascii="宋体" w:hAnsi="宋体" w:cs="宋体"/>
                <w:color w:val="000000"/>
                <w:kern w:val="0"/>
                <w:szCs w:val="21"/>
              </w:rPr>
            </w:pPr>
          </w:p>
        </w:tc>
        <w:tc>
          <w:tcPr>
            <w:tcW w:w="2693" w:type="dxa"/>
            <w:vMerge w:val="continue"/>
            <w:vAlign w:val="center"/>
          </w:tcPr>
          <w:p>
            <w:pPr>
              <w:widowControl/>
              <w:rPr>
                <w:rFonts w:ascii="宋体" w:hAnsi="宋体" w:cs="宋体"/>
                <w:color w:val="000000"/>
                <w:kern w:val="0"/>
                <w:szCs w:val="21"/>
              </w:rPr>
            </w:pPr>
          </w:p>
        </w:tc>
        <w:tc>
          <w:tcPr>
            <w:tcW w:w="1843" w:type="dxa"/>
            <w:vAlign w:val="center"/>
          </w:tcPr>
          <w:p>
            <w:pPr>
              <w:widowControl/>
              <w:rPr>
                <w:rFonts w:ascii="宋体" w:hAnsi="宋体" w:cs="宋体"/>
                <w:color w:val="000000"/>
                <w:kern w:val="0"/>
                <w:szCs w:val="21"/>
              </w:rPr>
            </w:pPr>
            <w:r>
              <w:rPr>
                <w:rFonts w:hint="eastAsia" w:ascii="宋体" w:hAnsi="宋体" w:cs="宋体"/>
                <w:color w:val="000000"/>
                <w:kern w:val="0"/>
                <w:szCs w:val="21"/>
              </w:rPr>
              <w:t>对</w:t>
            </w:r>
            <w:r>
              <w:rPr>
                <w:rFonts w:ascii="宋体" w:hAnsi="宋体" w:cs="宋体"/>
                <w:color w:val="000000"/>
                <w:kern w:val="0"/>
                <w:szCs w:val="21"/>
              </w:rPr>
              <w:t>160余万户普查对象进行入户登记，确保数据真实准确</w:t>
            </w:r>
          </w:p>
        </w:tc>
        <w:tc>
          <w:tcPr>
            <w:tcW w:w="851" w:type="dxa"/>
            <w:vAlign w:val="center"/>
          </w:tcPr>
          <w:p>
            <w:pPr>
              <w:widowControl/>
              <w:rPr>
                <w:rFonts w:ascii="宋体" w:hAnsi="宋体" w:cs="宋体"/>
                <w:color w:val="000000"/>
                <w:kern w:val="0"/>
                <w:szCs w:val="21"/>
              </w:rPr>
            </w:pPr>
            <w:r>
              <w:rPr>
                <w:rFonts w:hint="eastAsia" w:ascii="宋体" w:hAnsi="宋体" w:cs="宋体"/>
                <w:color w:val="000000"/>
                <w:kern w:val="0"/>
                <w:szCs w:val="21"/>
              </w:rPr>
              <w:t>正式调查对象数达</w:t>
            </w:r>
            <w:r>
              <w:rPr>
                <w:rFonts w:ascii="宋体" w:hAnsi="宋体" w:cs="宋体"/>
                <w:color w:val="000000"/>
                <w:kern w:val="0"/>
                <w:szCs w:val="21"/>
              </w:rPr>
              <w:t>95%以上</w:t>
            </w:r>
          </w:p>
        </w:tc>
        <w:tc>
          <w:tcPr>
            <w:tcW w:w="708" w:type="dxa"/>
            <w:vAlign w:val="center"/>
          </w:tcPr>
          <w:p>
            <w:pPr>
              <w:widowControl/>
              <w:rPr>
                <w:rFonts w:ascii="宋体" w:hAnsi="宋体" w:cs="宋体"/>
                <w:color w:val="000000"/>
                <w:kern w:val="0"/>
                <w:szCs w:val="21"/>
              </w:rPr>
            </w:pPr>
            <w:r>
              <w:rPr>
                <w:rFonts w:hint="eastAsia" w:ascii="宋体" w:hAnsi="宋体" w:cs="宋体"/>
                <w:color w:val="000000"/>
                <w:kern w:val="0"/>
                <w:szCs w:val="21"/>
              </w:rPr>
              <w:t>正式调查对象数达</w:t>
            </w:r>
            <w:r>
              <w:rPr>
                <w:rFonts w:ascii="宋体" w:hAnsi="宋体" w:cs="宋体"/>
                <w:color w:val="000000"/>
                <w:kern w:val="0"/>
                <w:szCs w:val="21"/>
              </w:rPr>
              <w:t>90%以上</w:t>
            </w:r>
          </w:p>
        </w:tc>
        <w:tc>
          <w:tcPr>
            <w:tcW w:w="851" w:type="dxa"/>
            <w:vAlign w:val="center"/>
          </w:tcPr>
          <w:p>
            <w:pPr>
              <w:widowControl/>
              <w:rPr>
                <w:rFonts w:ascii="宋体" w:hAnsi="宋体" w:cs="宋体"/>
                <w:color w:val="000000"/>
                <w:kern w:val="0"/>
                <w:szCs w:val="21"/>
              </w:rPr>
            </w:pPr>
            <w:r>
              <w:rPr>
                <w:rFonts w:hint="eastAsia" w:ascii="宋体" w:hAnsi="宋体" w:cs="宋体"/>
                <w:color w:val="000000"/>
                <w:kern w:val="0"/>
                <w:szCs w:val="21"/>
              </w:rPr>
              <w:t>正式调查对象数达</w:t>
            </w:r>
            <w:r>
              <w:rPr>
                <w:rFonts w:ascii="宋体" w:hAnsi="宋体" w:cs="宋体"/>
                <w:color w:val="000000"/>
                <w:kern w:val="0"/>
                <w:szCs w:val="21"/>
              </w:rPr>
              <w:t>85%以上</w:t>
            </w:r>
          </w:p>
        </w:tc>
        <w:tc>
          <w:tcPr>
            <w:tcW w:w="850" w:type="dxa"/>
            <w:vAlign w:val="center"/>
          </w:tcPr>
          <w:p>
            <w:pPr>
              <w:widowControl/>
              <w:rPr>
                <w:rFonts w:ascii="宋体" w:hAnsi="宋体" w:cs="宋体"/>
                <w:color w:val="000000"/>
                <w:kern w:val="0"/>
                <w:szCs w:val="21"/>
              </w:rPr>
            </w:pPr>
            <w:r>
              <w:rPr>
                <w:rFonts w:hint="eastAsia" w:ascii="宋体" w:hAnsi="宋体" w:cs="宋体"/>
                <w:color w:val="000000"/>
                <w:kern w:val="0"/>
                <w:szCs w:val="21"/>
              </w:rPr>
              <w:t>正式调查对象数达</w:t>
            </w:r>
            <w:r>
              <w:rPr>
                <w:rFonts w:ascii="宋体" w:hAnsi="宋体" w:cs="宋体"/>
                <w:color w:val="000000"/>
                <w:kern w:val="0"/>
                <w:szCs w:val="21"/>
              </w:rPr>
              <w:t>80%以上</w:t>
            </w:r>
          </w:p>
        </w:tc>
      </w:tr>
    </w:tbl>
    <w:p>
      <w:pPr>
        <w:spacing w:line="360" w:lineRule="auto"/>
        <w:jc w:val="left"/>
      </w:pPr>
    </w:p>
    <w:p>
      <w:pPr>
        <w:jc w:val="left"/>
        <w:sectPr>
          <w:headerReference r:id="rId11" w:type="default"/>
          <w:pgSz w:w="16838" w:h="11906" w:orient="landscape"/>
          <w:pgMar w:top="1800" w:right="1440" w:bottom="1800" w:left="1440" w:header="851" w:footer="992" w:gutter="0"/>
          <w:cols w:space="720" w:num="1"/>
          <w:docGrid w:type="lines" w:linePitch="312"/>
        </w:sectPr>
      </w:pPr>
    </w:p>
    <w:p>
      <w:pPr>
        <w:pStyle w:val="10"/>
      </w:pPr>
      <w:bookmarkStart w:id="3" w:name="_Toc476153804"/>
      <w:r>
        <w:rPr>
          <w:rFonts w:hint="eastAsia"/>
        </w:rPr>
        <w:t>部门收支预算总表</w:t>
      </w:r>
      <w:bookmarkEnd w:id="3"/>
    </w:p>
    <w:tbl>
      <w:tblPr>
        <w:tblW w:w="9379" w:type="dxa"/>
        <w:jc w:val="center"/>
        <w:tblInd w:w="-40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96"/>
        <w:gridCol w:w="4961"/>
        <w:gridCol w:w="3022"/>
      </w:tblGrid>
      <w:tr>
        <w:trPr>
          <w:cantSplit/>
          <w:trHeight w:val="312" w:hRule="atLeast"/>
          <w:tblHeader/>
          <w:jc w:val="center"/>
        </w:trPr>
        <w:tc>
          <w:tcPr>
            <w:tcW w:w="6357" w:type="dxa"/>
            <w:gridSpan w:val="2"/>
            <w:tcBorders>
              <w:bottom w:val="single" w:color="auto" w:sz="4" w:space="0"/>
            </w:tcBorders>
            <w:vAlign w:val="center"/>
          </w:tcPr>
          <w:p>
            <w:pPr>
              <w:widowControl/>
              <w:jc w:val="left"/>
              <w:rPr>
                <w:rFonts w:ascii="黑体" w:eastAsia="黑体"/>
                <w:b/>
              </w:rPr>
            </w:pPr>
            <w:r>
              <w:rPr>
                <w:rFonts w:ascii="宋体" w:hAnsi="宋体"/>
                <w:sz w:val="28"/>
              </w:rPr>
              <w:t>212唐山市统计局</w:t>
            </w:r>
          </w:p>
        </w:tc>
        <w:tc>
          <w:tcPr>
            <w:tcW w:w="3022" w:type="dxa"/>
            <w:tcBorders>
              <w:bottom w:val="single" w:color="auto" w:sz="4" w:space="0"/>
            </w:tcBorders>
            <w:vAlign w:val="center"/>
          </w:tcPr>
          <w:p>
            <w:pPr>
              <w:widowControl/>
              <w:jc w:val="right"/>
              <w:rPr>
                <w:rFonts w:ascii="黑体" w:eastAsia="黑体"/>
                <w:b/>
              </w:rPr>
            </w:pPr>
            <w:r>
              <w:rPr>
                <w:rFonts w:ascii="宋体" w:hAnsi="宋体"/>
                <w:sz w:val="24"/>
              </w:rPr>
              <w:t>单位：万元</w:t>
            </w:r>
          </w:p>
        </w:tc>
      </w:tr>
      <w:tr>
        <w:trPr>
          <w:cantSplit/>
          <w:trHeight w:val="312" w:hRule="atLeast"/>
          <w:tblHeader/>
          <w:jc w:val="center"/>
        </w:trPr>
        <w:tc>
          <w:tcPr>
            <w:tcW w:w="1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项目代码</w:t>
            </w:r>
          </w:p>
        </w:tc>
        <w:tc>
          <w:tcPr>
            <w:tcW w:w="4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预算收支项目</w:t>
            </w:r>
          </w:p>
        </w:tc>
        <w:tc>
          <w:tcPr>
            <w:tcW w:w="30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预算金额</w:t>
            </w:r>
          </w:p>
        </w:tc>
      </w:tr>
      <w:tr>
        <w:trPr>
          <w:cantSplit/>
          <w:trHeight w:val="312" w:hRule="atLeast"/>
          <w:tblHeader/>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c>
          <w:tcPr>
            <w:tcW w:w="30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r>
      <w:tr>
        <w:trPr>
          <w:cantSplit/>
          <w:trHeight w:val="312" w:hRule="atLeast"/>
          <w:tblHeader/>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p>
        </w:tc>
        <w:tc>
          <w:tcPr>
            <w:tcW w:w="3022"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hint="eastAsia" w:ascii="Arial" w:hAnsi="Arial" w:cs="Arial"/>
                <w:kern w:val="0"/>
                <w:szCs w:val="21"/>
              </w:rPr>
              <w:t>1417.85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一般公共预算拨款</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hint="eastAsia" w:ascii="Arial" w:hAnsi="Arial" w:cs="Arial"/>
                <w:kern w:val="0"/>
                <w:szCs w:val="21"/>
              </w:rPr>
              <w:t>1417.85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其中：财政拨款（补助）收入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hint="eastAsia" w:ascii="Arial" w:hAnsi="Arial" w:cs="Arial"/>
                <w:kern w:val="0"/>
                <w:szCs w:val="21"/>
              </w:rPr>
              <w:t>1412.85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行政事业性收费</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罚没收入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国有资源（资产）有偿使用收入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国有资本经营收入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债务收入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上级转移支付资金</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其中：一般性转移支付</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专项转移支付</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其他</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政府性基金预算收入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国有资本经营预算收入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其他来源收入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其中：事业收入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上级补助收入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附属单位上缴收入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用事业基金弥补收支差额</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其他收入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预算支出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1417.85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人员经费支出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924.42</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其中：工资福利支出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779.39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对个人和家庭补助</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145.03</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338.43</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其中：正常公用经费支出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122.46</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215.97</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专项项目支出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155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其他支出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结    余</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bl>
    <w:p>
      <w:pPr>
        <w:spacing w:line="20" w:lineRule="exact"/>
        <w:jc w:val="left"/>
      </w:pPr>
    </w:p>
    <w:p>
      <w:pPr>
        <w:jc w:val="left"/>
        <w:sectPr>
          <w:headerReference r:id="rId12" w:type="default"/>
          <w:pgSz w:w="11906" w:h="16838"/>
          <w:pgMar w:top="1440" w:right="1800" w:bottom="1440" w:left="1800" w:header="851" w:footer="992" w:gutter="0"/>
          <w:cols w:space="720" w:num="1"/>
          <w:docGrid w:type="lines" w:linePitch="312"/>
        </w:sectPr>
      </w:pPr>
    </w:p>
    <w:p>
      <w:pPr>
        <w:pStyle w:val="10"/>
      </w:pPr>
      <w:bookmarkStart w:id="4" w:name="_Toc476153805"/>
      <w:r>
        <w:rPr>
          <w:rFonts w:hint="eastAsia"/>
        </w:rPr>
        <w:t>部门基本支出预算</w:t>
      </w:r>
      <w:bookmarkEnd w:id="4"/>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84"/>
        <w:gridCol w:w="5387"/>
        <w:gridCol w:w="1701"/>
        <w:gridCol w:w="1559"/>
        <w:gridCol w:w="492"/>
        <w:gridCol w:w="925"/>
        <w:gridCol w:w="1418"/>
        <w:gridCol w:w="1041"/>
        <w:gridCol w:w="267"/>
      </w:tblGrid>
      <w:tr>
        <w:trPr>
          <w:gridAfter w:val="1"/>
          <w:wAfter w:w="267" w:type="dxa"/>
          <w:cantSplit/>
          <w:trHeight w:val="285" w:hRule="atLeast"/>
          <w:tblHeader/>
          <w:jc w:val="center"/>
        </w:trPr>
        <w:tc>
          <w:tcPr>
            <w:tcW w:w="10523" w:type="dxa"/>
            <w:gridSpan w:val="5"/>
            <w:tcBorders>
              <w:top w:val="nil"/>
              <w:left w:val="nil"/>
              <w:bottom w:val="nil"/>
              <w:right w:val="nil"/>
            </w:tcBorders>
            <w:shd w:val="clear" w:color="auto" w:fill="auto"/>
            <w:vAlign w:val="center"/>
          </w:tcPr>
          <w:p>
            <w:pPr>
              <w:widowControl/>
              <w:jc w:val="left"/>
              <w:rPr>
                <w:rFonts w:ascii="黑体" w:eastAsia="黑体"/>
                <w:b/>
              </w:rPr>
            </w:pPr>
            <w:r>
              <w:rPr>
                <w:rFonts w:ascii="宋体" w:hAnsi="宋体"/>
                <w:sz w:val="28"/>
              </w:rPr>
              <w:t>212唐山市统计局</w:t>
            </w:r>
          </w:p>
        </w:tc>
        <w:tc>
          <w:tcPr>
            <w:tcW w:w="3384" w:type="dxa"/>
            <w:gridSpan w:val="3"/>
            <w:tcBorders>
              <w:top w:val="nil"/>
              <w:left w:val="nil"/>
              <w:bottom w:val="nil"/>
              <w:right w:val="nil"/>
            </w:tcBorders>
            <w:shd w:val="clear" w:color="000000" w:fill="FFFFFF"/>
            <w:vAlign w:val="center"/>
          </w:tcPr>
          <w:p>
            <w:pPr>
              <w:widowControl/>
              <w:jc w:val="right"/>
              <w:rPr>
                <w:rFonts w:ascii="黑体" w:eastAsia="黑体"/>
                <w:b/>
              </w:rPr>
            </w:pPr>
            <w:r>
              <w:rPr>
                <w:rFonts w:ascii="宋体" w:hAnsi="宋体"/>
                <w:sz w:val="24"/>
              </w:rPr>
              <w:t>单位：万元</w:t>
            </w:r>
          </w:p>
        </w:tc>
      </w:tr>
      <w:tr>
        <w:trPr>
          <w:cantSplit/>
          <w:trHeight w:val="270" w:hRule="atLeast"/>
          <w:tblHeader/>
          <w:jc w:val="center"/>
        </w:trPr>
        <w:tc>
          <w:tcPr>
            <w:tcW w:w="1384"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经济分类科目编码</w:t>
            </w:r>
          </w:p>
        </w:tc>
        <w:tc>
          <w:tcPr>
            <w:tcW w:w="538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预算支出项目</w:t>
            </w:r>
          </w:p>
        </w:tc>
        <w:tc>
          <w:tcPr>
            <w:tcW w:w="7403" w:type="dxa"/>
            <w:gridSpan w:val="7"/>
            <w:vAlign w:val="center"/>
          </w:tcPr>
          <w:p>
            <w:pPr>
              <w:widowControl/>
              <w:jc w:val="center"/>
              <w:rPr>
                <w:rFonts w:ascii="黑体" w:hAnsi="黑体" w:eastAsia="黑体" w:cs="宋体"/>
                <w:b/>
                <w:color w:val="000000"/>
                <w:kern w:val="0"/>
                <w:szCs w:val="21"/>
              </w:rPr>
            </w:pPr>
            <w:r>
              <w:rPr>
                <w:rFonts w:hint="eastAsia" w:ascii="黑体" w:eastAsia="黑体"/>
                <w:b/>
              </w:rPr>
              <w:t>经 费 来 源</w:t>
            </w:r>
          </w:p>
        </w:tc>
      </w:tr>
      <w:tr>
        <w:trPr>
          <w:cantSplit/>
          <w:trHeight w:val="312" w:hRule="atLeast"/>
          <w:tblHeader/>
          <w:jc w:val="center"/>
        </w:trPr>
        <w:tc>
          <w:tcPr>
            <w:tcW w:w="1384" w:type="dxa"/>
            <w:vMerge w:val="continue"/>
            <w:vAlign w:val="center"/>
          </w:tcPr>
          <w:p>
            <w:pPr>
              <w:widowControl/>
              <w:jc w:val="center"/>
              <w:rPr>
                <w:rFonts w:ascii="黑体" w:hAnsi="黑体" w:eastAsia="黑体" w:cs="宋体"/>
                <w:b/>
                <w:bCs/>
                <w:color w:val="000000"/>
                <w:kern w:val="0"/>
                <w:szCs w:val="21"/>
              </w:rPr>
            </w:pPr>
          </w:p>
        </w:tc>
        <w:tc>
          <w:tcPr>
            <w:tcW w:w="5387" w:type="dxa"/>
            <w:vMerge w:val="continue"/>
            <w:vAlign w:val="center"/>
          </w:tcPr>
          <w:p>
            <w:pPr>
              <w:widowControl/>
              <w:jc w:val="center"/>
              <w:rPr>
                <w:rFonts w:ascii="黑体" w:hAnsi="黑体" w:eastAsia="黑体" w:cs="宋体"/>
                <w:b/>
                <w:bCs/>
                <w:color w:val="000000"/>
                <w:kern w:val="0"/>
                <w:szCs w:val="21"/>
              </w:rPr>
            </w:pPr>
          </w:p>
        </w:tc>
        <w:tc>
          <w:tcPr>
            <w:tcW w:w="1701" w:type="dxa"/>
            <w:vMerge w:val="restart"/>
            <w:vAlign w:val="center"/>
          </w:tcPr>
          <w:p>
            <w:pPr>
              <w:widowControl/>
              <w:jc w:val="center"/>
              <w:rPr>
                <w:rFonts w:ascii="黑体" w:hAnsi="黑体" w:eastAsia="黑体" w:cs="宋体"/>
                <w:b/>
                <w:bCs/>
                <w:color w:val="000000"/>
                <w:kern w:val="0"/>
                <w:szCs w:val="21"/>
              </w:rPr>
            </w:pPr>
            <w:r>
              <w:rPr>
                <w:rFonts w:hint="eastAsia" w:ascii="黑体" w:eastAsia="黑体"/>
                <w:b/>
              </w:rPr>
              <w:t>合 计</w:t>
            </w:r>
          </w:p>
        </w:tc>
        <w:tc>
          <w:tcPr>
            <w:tcW w:w="1559" w:type="dxa"/>
            <w:vMerge w:val="restart"/>
            <w:vAlign w:val="center"/>
          </w:tcPr>
          <w:p>
            <w:pPr>
              <w:widowControl/>
              <w:jc w:val="center"/>
              <w:rPr>
                <w:rFonts w:ascii="黑体" w:hAnsi="黑体" w:eastAsia="黑体" w:cs="宋体"/>
                <w:b/>
                <w:bCs/>
                <w:color w:val="000000"/>
                <w:kern w:val="0"/>
                <w:szCs w:val="21"/>
              </w:rPr>
            </w:pPr>
            <w:r>
              <w:rPr>
                <w:rFonts w:hint="eastAsia" w:ascii="黑体" w:eastAsia="黑体"/>
                <w:b/>
              </w:rPr>
              <w:t>一般公共预算拨款安排</w:t>
            </w:r>
          </w:p>
        </w:tc>
        <w:tc>
          <w:tcPr>
            <w:tcW w:w="1417" w:type="dxa"/>
            <w:gridSpan w:val="2"/>
            <w:vMerge w:val="restart"/>
            <w:vAlign w:val="center"/>
          </w:tcPr>
          <w:p>
            <w:pPr>
              <w:widowControl/>
              <w:jc w:val="center"/>
              <w:rPr>
                <w:rFonts w:ascii="黑体" w:hAnsi="黑体" w:eastAsia="黑体" w:cs="宋体"/>
                <w:b/>
                <w:bCs/>
                <w:color w:val="000000"/>
                <w:kern w:val="0"/>
                <w:szCs w:val="21"/>
              </w:rPr>
            </w:pPr>
            <w:r>
              <w:rPr>
                <w:rFonts w:hint="eastAsia" w:ascii="黑体" w:eastAsia="黑体"/>
                <w:b/>
              </w:rPr>
              <w:t>政府性基金预算拨款安排</w:t>
            </w:r>
          </w:p>
        </w:tc>
        <w:tc>
          <w:tcPr>
            <w:tcW w:w="1418"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国有资本经营预算拨款安排</w:t>
            </w:r>
          </w:p>
        </w:tc>
        <w:tc>
          <w:tcPr>
            <w:tcW w:w="1308" w:type="dxa"/>
            <w:gridSpan w:val="2"/>
            <w:vMerge w:val="restart"/>
            <w:vAlign w:val="center"/>
          </w:tcPr>
          <w:p>
            <w:pPr>
              <w:widowControl/>
              <w:jc w:val="center"/>
              <w:rPr>
                <w:rFonts w:ascii="黑体" w:hAnsi="黑体" w:eastAsia="黑体" w:cs="宋体"/>
                <w:b/>
                <w:bCs/>
                <w:color w:val="000000"/>
                <w:kern w:val="0"/>
                <w:szCs w:val="21"/>
              </w:rPr>
            </w:pPr>
            <w:r>
              <w:rPr>
                <w:rFonts w:hint="eastAsia" w:ascii="黑体" w:eastAsia="黑体"/>
                <w:b/>
              </w:rPr>
              <w:t>其他来源收入安排</w:t>
            </w:r>
          </w:p>
        </w:tc>
      </w:tr>
      <w:tr>
        <w:trPr>
          <w:cantSplit/>
          <w:trHeight w:val="312" w:hRule="atLeast"/>
          <w:tblHeader/>
          <w:jc w:val="center"/>
        </w:trPr>
        <w:tc>
          <w:tcPr>
            <w:tcW w:w="1384" w:type="dxa"/>
            <w:vMerge w:val="continue"/>
            <w:vAlign w:val="center"/>
          </w:tcPr>
          <w:p>
            <w:pPr>
              <w:widowControl/>
              <w:jc w:val="center"/>
              <w:rPr>
                <w:rFonts w:ascii="黑体" w:hAnsi="黑体" w:eastAsia="黑体" w:cs="宋体"/>
                <w:b/>
                <w:bCs/>
                <w:color w:val="000000"/>
                <w:kern w:val="0"/>
                <w:szCs w:val="21"/>
              </w:rPr>
            </w:pPr>
          </w:p>
        </w:tc>
        <w:tc>
          <w:tcPr>
            <w:tcW w:w="5387" w:type="dxa"/>
            <w:vMerge w:val="continue"/>
            <w:vAlign w:val="center"/>
          </w:tcPr>
          <w:p>
            <w:pPr>
              <w:widowControl/>
              <w:jc w:val="center"/>
              <w:rPr>
                <w:rFonts w:ascii="黑体" w:hAnsi="黑体" w:eastAsia="黑体" w:cs="宋体"/>
                <w:b/>
                <w:bCs/>
                <w:color w:val="000000"/>
                <w:kern w:val="0"/>
                <w:szCs w:val="21"/>
              </w:rPr>
            </w:pPr>
          </w:p>
        </w:tc>
        <w:tc>
          <w:tcPr>
            <w:tcW w:w="1701" w:type="dxa"/>
            <w:vMerge w:val="continue"/>
            <w:vAlign w:val="center"/>
          </w:tcPr>
          <w:p>
            <w:pPr>
              <w:widowControl/>
              <w:jc w:val="center"/>
              <w:rPr>
                <w:rFonts w:ascii="黑体" w:hAnsi="黑体" w:eastAsia="黑体" w:cs="宋体"/>
                <w:b/>
                <w:bCs/>
                <w:color w:val="000000"/>
                <w:kern w:val="0"/>
                <w:szCs w:val="21"/>
              </w:rPr>
            </w:pPr>
          </w:p>
        </w:tc>
        <w:tc>
          <w:tcPr>
            <w:tcW w:w="1559" w:type="dxa"/>
            <w:vMerge w:val="continue"/>
            <w:vAlign w:val="center"/>
          </w:tcPr>
          <w:p>
            <w:pPr>
              <w:widowControl/>
              <w:jc w:val="center"/>
              <w:rPr>
                <w:rFonts w:ascii="黑体" w:hAnsi="黑体" w:eastAsia="黑体" w:cs="宋体"/>
                <w:b/>
                <w:bCs/>
                <w:color w:val="000000"/>
                <w:kern w:val="0"/>
                <w:szCs w:val="21"/>
              </w:rPr>
            </w:pPr>
          </w:p>
        </w:tc>
        <w:tc>
          <w:tcPr>
            <w:tcW w:w="1417" w:type="dxa"/>
            <w:gridSpan w:val="2"/>
            <w:vMerge w:val="continue"/>
            <w:vAlign w:val="center"/>
          </w:tcPr>
          <w:p>
            <w:pPr>
              <w:widowControl/>
              <w:jc w:val="center"/>
              <w:rPr>
                <w:rFonts w:ascii="黑体" w:hAnsi="黑体" w:eastAsia="黑体" w:cs="宋体"/>
                <w:b/>
                <w:bCs/>
                <w:color w:val="000000"/>
                <w:kern w:val="0"/>
                <w:szCs w:val="21"/>
              </w:rPr>
            </w:pPr>
          </w:p>
        </w:tc>
        <w:tc>
          <w:tcPr>
            <w:tcW w:w="1418" w:type="dxa"/>
            <w:vMerge w:val="continue"/>
            <w:vAlign w:val="center"/>
          </w:tcPr>
          <w:p>
            <w:pPr>
              <w:widowControl/>
              <w:jc w:val="center"/>
              <w:rPr>
                <w:rFonts w:ascii="黑体" w:hAnsi="黑体" w:eastAsia="黑体" w:cs="宋体"/>
                <w:b/>
                <w:bCs/>
                <w:color w:val="000000"/>
                <w:kern w:val="0"/>
                <w:szCs w:val="21"/>
              </w:rPr>
            </w:pPr>
          </w:p>
        </w:tc>
        <w:tc>
          <w:tcPr>
            <w:tcW w:w="1308" w:type="dxa"/>
            <w:gridSpan w:val="2"/>
            <w:vMerge w:val="continue"/>
            <w:vAlign w:val="center"/>
          </w:tcPr>
          <w:p>
            <w:pPr>
              <w:widowControl/>
              <w:jc w:val="center"/>
              <w:rPr>
                <w:rFonts w:ascii="黑体" w:hAnsi="黑体" w:eastAsia="黑体" w:cs="宋体"/>
                <w:b/>
                <w:bCs/>
                <w:color w:val="000000"/>
                <w:kern w:val="0"/>
                <w:szCs w:val="21"/>
              </w:rPr>
            </w:pPr>
          </w:p>
        </w:tc>
      </w:tr>
      <w:tr>
        <w:trPr>
          <w:cantSplit/>
          <w:trHeight w:val="312" w:hRule="atLeast"/>
          <w:tblHeader/>
          <w:jc w:val="center"/>
        </w:trPr>
        <w:tc>
          <w:tcPr>
            <w:tcW w:w="1384" w:type="dxa"/>
            <w:vMerge w:val="continue"/>
            <w:vAlign w:val="center"/>
          </w:tcPr>
          <w:p>
            <w:pPr>
              <w:widowControl/>
              <w:rPr>
                <w:rFonts w:ascii="宋体" w:hAnsi="宋体" w:cs="宋体"/>
                <w:color w:val="000000"/>
                <w:kern w:val="0"/>
                <w:szCs w:val="21"/>
              </w:rPr>
            </w:pPr>
          </w:p>
        </w:tc>
        <w:tc>
          <w:tcPr>
            <w:tcW w:w="5387" w:type="dxa"/>
            <w:vMerge w:val="continue"/>
            <w:vAlign w:val="center"/>
          </w:tcPr>
          <w:p>
            <w:pPr>
              <w:widowControl/>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559"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308" w:type="dxa"/>
            <w:gridSpan w:val="2"/>
            <w:vMerge w:val="continue"/>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人员经费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924.42</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924.42</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一、工资福利支出</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779.39</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779.39</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30101</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1、基本工资</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257.69</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257.69</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2、津贴补贴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212.44</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212.44</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1）地区附加津贴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202.62</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202.62</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30102</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工作津贴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81.05</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81.05</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30102</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生活补贴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121.57</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121.57</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30102</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增发津补贴</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30102</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2）（特殊）岗位津贴（补贴）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0.53</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0.53</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3）规范津补贴后仍继续保留的补贴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0.08</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0.08</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30102</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回族补贴</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30102</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职工劳模荣誉津贴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0.08</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0.08</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4）上述项目之外的津贴补贴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9.21</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9.21</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30102</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通讯费补贴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7.91</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7.91</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30102</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女职工卫生费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1.30</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1.30</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30103</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3、奖金</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18.83</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18.83</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4、社会保障缴费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254.40</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254.40</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30108</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1）基本养老保险费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103.04</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103.04</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2）职业年金缴费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41.21</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41.21</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30104</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3）基本医疗保险费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107.97</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107.97</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30104</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4）事业单位失业保险</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0.55</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0.55</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30104</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5）事业单位工伤保险</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0.34</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0.34</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30104</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6）职工生育保险费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1.29</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1.29</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5、绩效工资</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36.03</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36.03</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30107</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1）基础性绩效工资</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23.28</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23.28</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30107</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2）奖励性绩效工资</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10.65</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10.65</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30107</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3）事业单位上年度12月份基本工资</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2.10</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2.10</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6、其他工资福利支出</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1）人事代理人员工资</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2）劳务派遣人员工资</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3）其他编外人员工资</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4）病假两个月以上期间的人员工资</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5）教师超工作量津贴</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6）各种加班工资</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30199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7）预留人员经费</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二、对个人和家庭的补助</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145.03</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145.03</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30301</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1、离休费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1.28</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1.28</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30302</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2、退休费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1.23</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1.23</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30303</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3、教育系统养老金补贴</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30304</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4、抚恤金</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1.05</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1.05</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30305</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5、生活补助</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0.66</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0.66</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30307</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6、医疗费</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30308</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7、助学金</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8、奖励金</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0.21</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0.21</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1）独生子女父母奖励</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0.21</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0.21</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30309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2）其他奖励金</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30311</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9、住房公积金</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61.82</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61.82</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10、其他对个人和家庭的补助支出</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78.78</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78.78</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30314</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1）在职人员取暖补贴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41.19</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41.19</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30314</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2）离退休人员取暖补贴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37.59</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37.59</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30399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3）其他</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正常公用经费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122.46</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122.46</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一、定额安排公用经费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93.50</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93.50</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30201</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1、办公费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6.19</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6.19</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30207</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2、邮电费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6.31</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6.31</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30211</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3、差旅费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14.46</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14.46</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30209</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4、物业管理费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4.45</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4.45</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30213</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5、维修（护）费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2.46</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2.46</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30231</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6、公务用车运行维护费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17.00</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17.00</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30239</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7、公务交通补贴</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41.74</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41.74</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30299</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8、其他商品和服务支出</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0.89</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0.89</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二、按规定比例提取安排公用经费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28.96</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28.96</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30216</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1、培训费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7.42</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7.42</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30217</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2、公务接待费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1.04</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1.04</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30228</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3、工会经费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5.93</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5.93</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30229</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4、福利费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6.44</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6.44</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5、其他</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8.13</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8.13</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1）离休人员福利费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0.09</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0.09</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2）退休人员福利费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4.36</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4.36</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3）离休干部公用经费、特需费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0.15</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0.15</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30299</w:t>
            </w: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4）退休干部公用经费、特需费</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3.53</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3.53</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hint="eastAsia" w:ascii="宋体" w:hAnsi="宋体" w:cs="宋体"/>
                <w:color w:val="000000"/>
                <w:kern w:val="0"/>
                <w:szCs w:val="21"/>
              </w:rPr>
              <w:t>三、非定额安排公用经费</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30205</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1、水费</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30206</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2、电费</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r>
              <w:rPr>
                <w:rFonts w:ascii="宋体" w:hAnsi="宋体" w:cs="宋体"/>
                <w:color w:val="000000"/>
                <w:kern w:val="0"/>
                <w:szCs w:val="21"/>
              </w:rPr>
              <w:t>30208</w:t>
            </w: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3、取暖费</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r>
        <w:trPr>
          <w:cantSplit/>
          <w:trHeight w:val="312" w:hRule="atLeast"/>
          <w:jc w:val="center"/>
        </w:trPr>
        <w:tc>
          <w:tcPr>
            <w:tcW w:w="1384" w:type="dxa"/>
            <w:vAlign w:val="center"/>
          </w:tcPr>
          <w:p>
            <w:pPr>
              <w:widowControl/>
              <w:rPr>
                <w:rFonts w:ascii="宋体" w:hAnsi="宋体" w:cs="宋体"/>
                <w:color w:val="000000"/>
                <w:kern w:val="0"/>
                <w:szCs w:val="21"/>
              </w:rPr>
            </w:pPr>
          </w:p>
        </w:tc>
        <w:tc>
          <w:tcPr>
            <w:tcW w:w="5387" w:type="dxa"/>
            <w:vAlign w:val="center"/>
          </w:tcPr>
          <w:p>
            <w:pPr>
              <w:widowControl/>
              <w:rPr>
                <w:rFonts w:ascii="宋体" w:hAnsi="宋体" w:cs="宋体"/>
                <w:color w:val="000000"/>
                <w:kern w:val="0"/>
                <w:szCs w:val="21"/>
              </w:rPr>
            </w:pPr>
            <w:r>
              <w:rPr>
                <w:rFonts w:ascii="宋体" w:hAnsi="宋体" w:cs="宋体"/>
                <w:color w:val="000000"/>
                <w:kern w:val="0"/>
                <w:szCs w:val="21"/>
              </w:rPr>
              <w:t xml:space="preserve">     基本支出总计</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1046.88</w:t>
            </w:r>
          </w:p>
        </w:tc>
        <w:tc>
          <w:tcPr>
            <w:tcW w:w="1559" w:type="dxa"/>
            <w:vAlign w:val="center"/>
          </w:tcPr>
          <w:p>
            <w:pPr>
              <w:widowControl/>
              <w:jc w:val="right"/>
              <w:rPr>
                <w:rFonts w:ascii="宋体" w:hAnsi="宋体" w:cs="宋体"/>
                <w:color w:val="000000"/>
                <w:kern w:val="0"/>
                <w:szCs w:val="21"/>
              </w:rPr>
            </w:pPr>
            <w:r>
              <w:rPr>
                <w:rFonts w:ascii="宋体" w:hAnsi="宋体" w:cs="宋体"/>
                <w:color w:val="000000"/>
                <w:kern w:val="0"/>
                <w:szCs w:val="21"/>
              </w:rPr>
              <w:t>1046.88</w:t>
            </w:r>
          </w:p>
        </w:tc>
        <w:tc>
          <w:tcPr>
            <w:tcW w:w="1417" w:type="dxa"/>
            <w:gridSpan w:val="2"/>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308" w:type="dxa"/>
            <w:gridSpan w:val="2"/>
            <w:vAlign w:val="center"/>
          </w:tcPr>
          <w:p>
            <w:pPr>
              <w:widowControl/>
              <w:jc w:val="right"/>
              <w:rPr>
                <w:rFonts w:ascii="宋体" w:hAnsi="宋体" w:cs="宋体"/>
                <w:color w:val="000000"/>
                <w:kern w:val="0"/>
                <w:szCs w:val="21"/>
              </w:rPr>
            </w:pPr>
          </w:p>
        </w:tc>
      </w:tr>
    </w:tbl>
    <w:p>
      <w:pPr>
        <w:spacing w:line="20" w:lineRule="exact"/>
      </w:pPr>
    </w:p>
    <w:p>
      <w:pPr>
        <w:jc w:val="left"/>
        <w:sectPr>
          <w:headerReference r:id="rId13" w:type="default"/>
          <w:pgSz w:w="16838" w:h="11906" w:orient="landscape"/>
          <w:pgMar w:top="1800" w:right="1440" w:bottom="1800" w:left="1440" w:header="851" w:footer="992" w:gutter="0"/>
          <w:cols w:space="720" w:num="1"/>
          <w:docGrid w:type="lines" w:linePitch="312"/>
        </w:sectPr>
      </w:pPr>
    </w:p>
    <w:p>
      <w:pPr>
        <w:pStyle w:val="10"/>
      </w:pPr>
      <w:bookmarkStart w:id="5" w:name="_Toc383873146"/>
      <w:bookmarkStart w:id="6" w:name="_Toc476153806"/>
      <w:r>
        <w:rPr>
          <w:rFonts w:hint="eastAsia"/>
        </w:rPr>
        <w:t>部门项目支出</w:t>
      </w:r>
      <w:bookmarkEnd w:id="5"/>
      <w:r>
        <w:rPr>
          <w:rFonts w:hint="eastAsia"/>
        </w:rPr>
        <w:t>预算</w:t>
      </w:r>
      <w:bookmarkEnd w:id="6"/>
    </w:p>
    <w:tbl>
      <w:tblPr>
        <w:tblW w:w="14192" w:type="dxa"/>
        <w:jc w:val="center"/>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
        <w:gridCol w:w="2518"/>
        <w:gridCol w:w="1559"/>
        <w:gridCol w:w="993"/>
        <w:gridCol w:w="1134"/>
        <w:gridCol w:w="1134"/>
        <w:gridCol w:w="850"/>
        <w:gridCol w:w="1276"/>
        <w:gridCol w:w="595"/>
        <w:gridCol w:w="681"/>
        <w:gridCol w:w="1134"/>
        <w:gridCol w:w="1134"/>
        <w:gridCol w:w="1166"/>
      </w:tblGrid>
      <w:tr>
        <w:trPr>
          <w:cantSplit/>
          <w:trHeight w:val="270" w:hRule="atLeast"/>
          <w:tblHeader/>
          <w:jc w:val="center"/>
        </w:trPr>
        <w:tc>
          <w:tcPr>
            <w:tcW w:w="10077" w:type="dxa"/>
            <w:gridSpan w:val="9"/>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212唐山市统计局</w:t>
            </w:r>
            <w:r>
              <w:rPr>
                <w:rFonts w:hint="eastAsia" w:ascii="宋体" w:hAnsi="宋体" w:cs="宋体"/>
                <w:color w:val="000000"/>
                <w:kern w:val="0"/>
                <w:sz w:val="22"/>
              </w:rPr>
              <w:t>　</w:t>
            </w:r>
          </w:p>
        </w:tc>
        <w:tc>
          <w:tcPr>
            <w:tcW w:w="4115" w:type="dxa"/>
            <w:gridSpan w:val="4"/>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270" w:hRule="atLeast"/>
          <w:tblHeader/>
          <w:jc w:val="center"/>
        </w:trPr>
        <w:tc>
          <w:tcPr>
            <w:tcW w:w="2518"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559"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项目承担单位</w:t>
            </w:r>
          </w:p>
        </w:tc>
        <w:tc>
          <w:tcPr>
            <w:tcW w:w="993"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功能分类科目编码</w:t>
            </w:r>
          </w:p>
        </w:tc>
        <w:tc>
          <w:tcPr>
            <w:tcW w:w="2268" w:type="dxa"/>
            <w:gridSpan w:val="2"/>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项目类型</w:t>
            </w:r>
          </w:p>
        </w:tc>
        <w:tc>
          <w:tcPr>
            <w:tcW w:w="850"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项目级次</w:t>
            </w:r>
          </w:p>
        </w:tc>
        <w:tc>
          <w:tcPr>
            <w:tcW w:w="5986" w:type="dxa"/>
            <w:gridSpan w:val="6"/>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518" w:type="dxa"/>
            <w:vMerge w:val="continue"/>
            <w:vAlign w:val="center"/>
          </w:tcPr>
          <w:p>
            <w:pPr>
              <w:widowControl/>
              <w:jc w:val="center"/>
              <w:rPr>
                <w:rFonts w:ascii="黑体" w:hAnsi="黑体" w:eastAsia="黑体" w:cs="宋体"/>
                <w:b/>
                <w:color w:val="000000"/>
                <w:kern w:val="0"/>
                <w:szCs w:val="21"/>
              </w:rPr>
            </w:pPr>
          </w:p>
        </w:tc>
        <w:tc>
          <w:tcPr>
            <w:tcW w:w="1559" w:type="dxa"/>
            <w:vMerge w:val="continue"/>
            <w:vAlign w:val="center"/>
          </w:tcPr>
          <w:p>
            <w:pPr>
              <w:widowControl/>
              <w:jc w:val="center"/>
              <w:rPr>
                <w:rFonts w:ascii="黑体" w:hAnsi="黑体" w:eastAsia="黑体" w:cs="宋体"/>
                <w:b/>
                <w:bCs/>
                <w:color w:val="000000"/>
                <w:kern w:val="0"/>
                <w:szCs w:val="21"/>
              </w:rPr>
            </w:pPr>
          </w:p>
        </w:tc>
        <w:tc>
          <w:tcPr>
            <w:tcW w:w="993" w:type="dxa"/>
            <w:vMerge w:val="continue"/>
            <w:vAlign w:val="center"/>
          </w:tcPr>
          <w:p>
            <w:pPr>
              <w:widowControl/>
              <w:jc w:val="center"/>
              <w:rPr>
                <w:rFonts w:ascii="黑体" w:hAnsi="黑体" w:eastAsia="黑体" w:cs="宋体"/>
                <w:b/>
                <w:bCs/>
                <w:color w:val="000000"/>
                <w:kern w:val="0"/>
                <w:szCs w:val="21"/>
              </w:rPr>
            </w:pPr>
          </w:p>
        </w:tc>
        <w:tc>
          <w:tcPr>
            <w:tcW w:w="1134"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大类</w:t>
            </w:r>
          </w:p>
        </w:tc>
        <w:tc>
          <w:tcPr>
            <w:tcW w:w="1134"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小类</w:t>
            </w:r>
          </w:p>
        </w:tc>
        <w:tc>
          <w:tcPr>
            <w:tcW w:w="850" w:type="dxa"/>
            <w:vMerge w:val="continue"/>
            <w:vAlign w:val="center"/>
          </w:tcPr>
          <w:p>
            <w:pPr>
              <w:widowControl/>
              <w:jc w:val="center"/>
              <w:rPr>
                <w:rFonts w:ascii="黑体" w:hAnsi="黑体" w:eastAsia="黑体" w:cs="宋体"/>
                <w:b/>
                <w:bCs/>
                <w:color w:val="000000"/>
                <w:kern w:val="0"/>
                <w:szCs w:val="21"/>
              </w:rPr>
            </w:pPr>
          </w:p>
        </w:tc>
        <w:tc>
          <w:tcPr>
            <w:tcW w:w="127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276"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134"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134"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16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518" w:type="dxa"/>
            <w:vMerge w:val="continue"/>
            <w:vAlign w:val="center"/>
          </w:tcPr>
          <w:p>
            <w:pPr>
              <w:widowControl/>
              <w:jc w:val="center"/>
              <w:rPr>
                <w:rFonts w:ascii="黑体" w:hAnsi="黑体" w:eastAsia="黑体" w:cs="宋体"/>
                <w:b/>
                <w:color w:val="000000"/>
                <w:kern w:val="0"/>
                <w:szCs w:val="21"/>
              </w:rPr>
            </w:pPr>
          </w:p>
        </w:tc>
        <w:tc>
          <w:tcPr>
            <w:tcW w:w="1559" w:type="dxa"/>
            <w:vMerge w:val="continue"/>
            <w:vAlign w:val="center"/>
          </w:tcPr>
          <w:p>
            <w:pPr>
              <w:widowControl/>
              <w:jc w:val="center"/>
              <w:rPr>
                <w:rFonts w:ascii="黑体" w:hAnsi="黑体" w:eastAsia="黑体" w:cs="宋体"/>
                <w:b/>
                <w:bCs/>
                <w:color w:val="000000"/>
                <w:kern w:val="0"/>
                <w:szCs w:val="21"/>
              </w:rPr>
            </w:pPr>
          </w:p>
        </w:tc>
        <w:tc>
          <w:tcPr>
            <w:tcW w:w="993" w:type="dxa"/>
            <w:vMerge w:val="continue"/>
            <w:vAlign w:val="center"/>
          </w:tcPr>
          <w:p>
            <w:pPr>
              <w:widowControl/>
              <w:jc w:val="center"/>
              <w:rPr>
                <w:rFonts w:ascii="黑体" w:hAnsi="黑体" w:eastAsia="黑体" w:cs="宋体"/>
                <w:b/>
                <w:bCs/>
                <w:color w:val="000000"/>
                <w:kern w:val="0"/>
                <w:szCs w:val="21"/>
              </w:rPr>
            </w:pPr>
          </w:p>
        </w:tc>
        <w:tc>
          <w:tcPr>
            <w:tcW w:w="1134" w:type="dxa"/>
            <w:vMerge w:val="continue"/>
            <w:vAlign w:val="center"/>
          </w:tcPr>
          <w:p>
            <w:pPr>
              <w:widowControl/>
              <w:jc w:val="center"/>
              <w:rPr>
                <w:rFonts w:ascii="黑体" w:hAnsi="黑体" w:eastAsia="黑体" w:cs="宋体"/>
                <w:b/>
                <w:bCs/>
                <w:color w:val="000000"/>
                <w:kern w:val="0"/>
                <w:szCs w:val="21"/>
              </w:rPr>
            </w:pPr>
          </w:p>
        </w:tc>
        <w:tc>
          <w:tcPr>
            <w:tcW w:w="1134" w:type="dxa"/>
            <w:vMerge w:val="continue"/>
            <w:vAlign w:val="center"/>
          </w:tcPr>
          <w:p>
            <w:pPr>
              <w:widowControl/>
              <w:jc w:val="center"/>
              <w:rPr>
                <w:rFonts w:ascii="黑体" w:hAnsi="黑体" w:eastAsia="黑体" w:cs="宋体"/>
                <w:b/>
                <w:bCs/>
                <w:color w:val="000000"/>
                <w:kern w:val="0"/>
                <w:szCs w:val="21"/>
              </w:rPr>
            </w:pPr>
          </w:p>
        </w:tc>
        <w:tc>
          <w:tcPr>
            <w:tcW w:w="850" w:type="dxa"/>
            <w:vMerge w:val="continue"/>
            <w:vAlign w:val="center"/>
          </w:tcPr>
          <w:p>
            <w:pPr>
              <w:widowControl/>
              <w:jc w:val="center"/>
              <w:rPr>
                <w:rFonts w:ascii="黑体" w:hAnsi="黑体" w:eastAsia="黑体" w:cs="宋体"/>
                <w:b/>
                <w:bCs/>
                <w:color w:val="000000"/>
                <w:kern w:val="0"/>
                <w:szCs w:val="21"/>
              </w:rPr>
            </w:pPr>
          </w:p>
        </w:tc>
        <w:tc>
          <w:tcPr>
            <w:tcW w:w="1276" w:type="dxa"/>
            <w:vMerge w:val="continue"/>
            <w:vAlign w:val="center"/>
          </w:tcPr>
          <w:p>
            <w:pPr>
              <w:widowControl/>
              <w:jc w:val="center"/>
              <w:rPr>
                <w:rFonts w:ascii="黑体" w:hAnsi="黑体" w:eastAsia="黑体" w:cs="宋体"/>
                <w:b/>
                <w:bCs/>
                <w:color w:val="000000"/>
                <w:kern w:val="0"/>
                <w:szCs w:val="21"/>
              </w:rPr>
            </w:pPr>
          </w:p>
        </w:tc>
        <w:tc>
          <w:tcPr>
            <w:tcW w:w="1276" w:type="dxa"/>
            <w:gridSpan w:val="2"/>
            <w:vMerge w:val="continue"/>
            <w:vAlign w:val="center"/>
          </w:tcPr>
          <w:p>
            <w:pPr>
              <w:widowControl/>
              <w:jc w:val="center"/>
              <w:rPr>
                <w:rFonts w:ascii="黑体" w:hAnsi="黑体" w:eastAsia="黑体" w:cs="宋体"/>
                <w:b/>
                <w:bCs/>
                <w:color w:val="000000"/>
                <w:kern w:val="0"/>
                <w:szCs w:val="21"/>
              </w:rPr>
            </w:pPr>
          </w:p>
        </w:tc>
        <w:tc>
          <w:tcPr>
            <w:tcW w:w="1134" w:type="dxa"/>
            <w:vMerge w:val="continue"/>
            <w:vAlign w:val="center"/>
          </w:tcPr>
          <w:p>
            <w:pPr>
              <w:widowControl/>
              <w:jc w:val="center"/>
              <w:rPr>
                <w:rFonts w:ascii="黑体" w:hAnsi="黑体" w:eastAsia="黑体" w:cs="宋体"/>
                <w:b/>
                <w:bCs/>
                <w:color w:val="000000"/>
                <w:kern w:val="0"/>
                <w:szCs w:val="21"/>
              </w:rPr>
            </w:pPr>
          </w:p>
        </w:tc>
        <w:tc>
          <w:tcPr>
            <w:tcW w:w="1134" w:type="dxa"/>
            <w:vMerge w:val="continue"/>
            <w:vAlign w:val="center"/>
          </w:tcPr>
          <w:p>
            <w:pPr>
              <w:widowControl/>
              <w:jc w:val="center"/>
              <w:rPr>
                <w:rFonts w:ascii="黑体" w:hAnsi="黑体" w:eastAsia="黑体" w:cs="宋体"/>
                <w:b/>
                <w:bCs/>
                <w:color w:val="000000"/>
                <w:kern w:val="0"/>
                <w:szCs w:val="21"/>
              </w:rPr>
            </w:pPr>
          </w:p>
        </w:tc>
        <w:tc>
          <w:tcPr>
            <w:tcW w:w="1166" w:type="dxa"/>
            <w:vMerge w:val="continue"/>
            <w:vAlign w:val="center"/>
          </w:tcPr>
          <w:p>
            <w:pPr>
              <w:widowControl/>
              <w:jc w:val="center"/>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518" w:type="dxa"/>
            <w:vMerge w:val="continue"/>
            <w:vAlign w:val="center"/>
          </w:tcPr>
          <w:p>
            <w:pPr>
              <w:widowControl/>
              <w:jc w:val="left"/>
              <w:rPr>
                <w:rFonts w:ascii="宋体" w:hAnsi="宋体" w:cs="宋体"/>
                <w:color w:val="000000"/>
                <w:kern w:val="0"/>
                <w:szCs w:val="21"/>
              </w:rPr>
            </w:pPr>
          </w:p>
        </w:tc>
        <w:tc>
          <w:tcPr>
            <w:tcW w:w="1559" w:type="dxa"/>
            <w:vMerge w:val="continue"/>
            <w:vAlign w:val="center"/>
          </w:tcPr>
          <w:p>
            <w:pPr>
              <w:widowControl/>
              <w:jc w:val="left"/>
              <w:rPr>
                <w:rFonts w:ascii="宋体" w:hAnsi="宋体" w:cs="宋体"/>
                <w:color w:val="000000"/>
                <w:kern w:val="0"/>
                <w:szCs w:val="21"/>
              </w:rPr>
            </w:pPr>
          </w:p>
        </w:tc>
        <w:tc>
          <w:tcPr>
            <w:tcW w:w="993" w:type="dxa"/>
            <w:vMerge w:val="continue"/>
            <w:vAlign w:val="center"/>
          </w:tcPr>
          <w:p>
            <w:pPr>
              <w:widowControl/>
              <w:jc w:val="left"/>
              <w:rPr>
                <w:rFonts w:ascii="宋体" w:hAnsi="宋体" w:cs="宋体"/>
                <w:color w:val="000000"/>
                <w:kern w:val="0"/>
                <w:szCs w:val="21"/>
              </w:rPr>
            </w:pPr>
          </w:p>
        </w:tc>
        <w:tc>
          <w:tcPr>
            <w:tcW w:w="1134" w:type="dxa"/>
            <w:vMerge w:val="continue"/>
            <w:vAlign w:val="center"/>
          </w:tcPr>
          <w:p>
            <w:pPr>
              <w:widowControl/>
              <w:jc w:val="left"/>
              <w:rPr>
                <w:rFonts w:ascii="宋体" w:hAnsi="宋体" w:cs="宋体"/>
                <w:color w:val="000000"/>
                <w:kern w:val="0"/>
                <w:szCs w:val="21"/>
              </w:rPr>
            </w:pPr>
          </w:p>
        </w:tc>
        <w:tc>
          <w:tcPr>
            <w:tcW w:w="1134" w:type="dxa"/>
            <w:vMerge w:val="continue"/>
            <w:vAlign w:val="center"/>
          </w:tcPr>
          <w:p>
            <w:pPr>
              <w:widowControl/>
              <w:jc w:val="left"/>
              <w:rPr>
                <w:rFonts w:ascii="宋体" w:hAnsi="宋体" w:cs="宋体"/>
                <w:color w:val="000000"/>
                <w:kern w:val="0"/>
                <w:szCs w:val="21"/>
              </w:rPr>
            </w:pPr>
          </w:p>
        </w:tc>
        <w:tc>
          <w:tcPr>
            <w:tcW w:w="850" w:type="dxa"/>
            <w:vMerge w:val="continue"/>
            <w:vAlign w:val="center"/>
          </w:tcPr>
          <w:p>
            <w:pPr>
              <w:widowControl/>
              <w:jc w:val="left"/>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1276" w:type="dxa"/>
            <w:gridSpan w:val="2"/>
            <w:vMerge w:val="continue"/>
            <w:vAlign w:val="center"/>
          </w:tcPr>
          <w:p>
            <w:pPr>
              <w:widowControl/>
              <w:jc w:val="right"/>
              <w:rPr>
                <w:rFonts w:ascii="宋体" w:hAnsi="宋体" w:cs="宋体"/>
                <w:color w:val="000000"/>
                <w:kern w:val="0"/>
                <w:szCs w:val="21"/>
              </w:rPr>
            </w:pPr>
          </w:p>
        </w:tc>
        <w:tc>
          <w:tcPr>
            <w:tcW w:w="1134" w:type="dxa"/>
            <w:vMerge w:val="continue"/>
            <w:vAlign w:val="center"/>
          </w:tcPr>
          <w:p>
            <w:pPr>
              <w:widowControl/>
              <w:jc w:val="right"/>
              <w:rPr>
                <w:rFonts w:ascii="宋体" w:hAnsi="宋体" w:cs="宋体"/>
                <w:color w:val="000000"/>
                <w:kern w:val="0"/>
                <w:szCs w:val="21"/>
              </w:rPr>
            </w:pPr>
          </w:p>
        </w:tc>
        <w:tc>
          <w:tcPr>
            <w:tcW w:w="1134" w:type="dxa"/>
            <w:vMerge w:val="continue"/>
            <w:vAlign w:val="center"/>
          </w:tcPr>
          <w:p>
            <w:pPr>
              <w:widowControl/>
              <w:jc w:val="right"/>
              <w:rPr>
                <w:rFonts w:ascii="宋体" w:hAnsi="宋体" w:cs="宋体"/>
                <w:color w:val="000000"/>
                <w:kern w:val="0"/>
                <w:szCs w:val="21"/>
              </w:rPr>
            </w:pPr>
          </w:p>
        </w:tc>
        <w:tc>
          <w:tcPr>
            <w:tcW w:w="1166" w:type="dxa"/>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518" w:type="dxa"/>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合计</w:t>
            </w:r>
          </w:p>
        </w:tc>
        <w:tc>
          <w:tcPr>
            <w:tcW w:w="1559" w:type="dxa"/>
            <w:vAlign w:val="center"/>
          </w:tcPr>
          <w:p>
            <w:pPr>
              <w:widowControl/>
              <w:jc w:val="left"/>
              <w:rPr>
                <w:rFonts w:ascii="宋体" w:hAnsi="宋体" w:cs="宋体"/>
                <w:color w:val="000000"/>
                <w:kern w:val="0"/>
                <w:szCs w:val="21"/>
              </w:rPr>
            </w:pPr>
          </w:p>
        </w:tc>
        <w:tc>
          <w:tcPr>
            <w:tcW w:w="993" w:type="dxa"/>
            <w:vAlign w:val="center"/>
          </w:tcPr>
          <w:p>
            <w:pPr>
              <w:widowControl/>
              <w:jc w:val="left"/>
              <w:rPr>
                <w:rFonts w:ascii="宋体" w:hAnsi="宋体" w:cs="宋体"/>
                <w:color w:val="000000"/>
                <w:kern w:val="0"/>
                <w:szCs w:val="21"/>
              </w:rPr>
            </w:pPr>
          </w:p>
        </w:tc>
        <w:tc>
          <w:tcPr>
            <w:tcW w:w="1134" w:type="dxa"/>
            <w:vAlign w:val="center"/>
          </w:tcPr>
          <w:p>
            <w:pPr>
              <w:widowControl/>
              <w:jc w:val="left"/>
              <w:rPr>
                <w:rFonts w:ascii="宋体" w:hAnsi="宋体" w:cs="宋体"/>
                <w:color w:val="000000"/>
                <w:kern w:val="0"/>
                <w:szCs w:val="21"/>
              </w:rPr>
            </w:pPr>
          </w:p>
        </w:tc>
        <w:tc>
          <w:tcPr>
            <w:tcW w:w="1134" w:type="dxa"/>
            <w:vAlign w:val="center"/>
          </w:tcPr>
          <w:p>
            <w:pPr>
              <w:widowControl/>
              <w:jc w:val="left"/>
              <w:rPr>
                <w:rFonts w:ascii="宋体" w:hAnsi="宋体" w:cs="宋体"/>
                <w:color w:val="000000"/>
                <w:kern w:val="0"/>
                <w:szCs w:val="21"/>
              </w:rPr>
            </w:pPr>
          </w:p>
        </w:tc>
        <w:tc>
          <w:tcPr>
            <w:tcW w:w="850" w:type="dxa"/>
            <w:vAlign w:val="center"/>
          </w:tcPr>
          <w:p>
            <w:pPr>
              <w:widowControl/>
              <w:jc w:val="lef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276"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134" w:type="dxa"/>
            <w:vAlign w:val="center"/>
          </w:tcPr>
          <w:p>
            <w:pPr>
              <w:widowControl/>
              <w:jc w:val="right"/>
              <w:rPr>
                <w:rFonts w:ascii="宋体" w:hAnsi="宋体" w:cs="宋体"/>
                <w:color w:val="000000"/>
                <w:kern w:val="0"/>
                <w:szCs w:val="21"/>
              </w:rPr>
            </w:pPr>
          </w:p>
        </w:tc>
        <w:tc>
          <w:tcPr>
            <w:tcW w:w="1134" w:type="dxa"/>
            <w:vAlign w:val="center"/>
          </w:tcPr>
          <w:p>
            <w:pPr>
              <w:widowControl/>
              <w:jc w:val="right"/>
              <w:rPr>
                <w:rFonts w:ascii="宋体" w:hAnsi="宋体" w:cs="宋体"/>
                <w:color w:val="000000"/>
                <w:kern w:val="0"/>
                <w:szCs w:val="21"/>
              </w:rPr>
            </w:pPr>
          </w:p>
        </w:tc>
        <w:tc>
          <w:tcPr>
            <w:tcW w:w="1166"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51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统计调查</w:t>
            </w:r>
          </w:p>
        </w:tc>
        <w:tc>
          <w:tcPr>
            <w:tcW w:w="1559" w:type="dxa"/>
            <w:vAlign w:val="center"/>
          </w:tcPr>
          <w:p>
            <w:pPr>
              <w:widowControl/>
              <w:jc w:val="left"/>
              <w:rPr>
                <w:rFonts w:ascii="宋体" w:hAnsi="宋体" w:cs="宋体"/>
                <w:color w:val="000000"/>
                <w:kern w:val="0"/>
                <w:szCs w:val="21"/>
              </w:rPr>
            </w:pPr>
          </w:p>
        </w:tc>
        <w:tc>
          <w:tcPr>
            <w:tcW w:w="993" w:type="dxa"/>
            <w:vAlign w:val="center"/>
          </w:tcPr>
          <w:p>
            <w:pPr>
              <w:widowControl/>
              <w:jc w:val="left"/>
              <w:rPr>
                <w:rFonts w:ascii="宋体" w:hAnsi="宋体" w:cs="宋体"/>
                <w:color w:val="000000"/>
                <w:kern w:val="0"/>
                <w:szCs w:val="21"/>
              </w:rPr>
            </w:pPr>
          </w:p>
        </w:tc>
        <w:tc>
          <w:tcPr>
            <w:tcW w:w="1134" w:type="dxa"/>
            <w:vAlign w:val="center"/>
          </w:tcPr>
          <w:p>
            <w:pPr>
              <w:widowControl/>
              <w:jc w:val="left"/>
              <w:rPr>
                <w:rFonts w:ascii="宋体" w:hAnsi="宋体" w:cs="宋体"/>
                <w:color w:val="000000"/>
                <w:kern w:val="0"/>
                <w:szCs w:val="21"/>
              </w:rPr>
            </w:pPr>
          </w:p>
        </w:tc>
        <w:tc>
          <w:tcPr>
            <w:tcW w:w="1134" w:type="dxa"/>
            <w:vAlign w:val="center"/>
          </w:tcPr>
          <w:p>
            <w:pPr>
              <w:widowControl/>
              <w:jc w:val="left"/>
              <w:rPr>
                <w:rFonts w:ascii="宋体" w:hAnsi="宋体" w:cs="宋体"/>
                <w:color w:val="000000"/>
                <w:kern w:val="0"/>
                <w:szCs w:val="21"/>
              </w:rPr>
            </w:pPr>
          </w:p>
        </w:tc>
        <w:tc>
          <w:tcPr>
            <w:tcW w:w="850" w:type="dxa"/>
            <w:vAlign w:val="center"/>
          </w:tcPr>
          <w:p>
            <w:pPr>
              <w:widowControl/>
              <w:jc w:val="lef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276"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134" w:type="dxa"/>
            <w:vAlign w:val="center"/>
          </w:tcPr>
          <w:p>
            <w:pPr>
              <w:widowControl/>
              <w:jc w:val="right"/>
              <w:rPr>
                <w:rFonts w:ascii="宋体" w:hAnsi="宋体" w:cs="宋体"/>
                <w:color w:val="000000"/>
                <w:kern w:val="0"/>
                <w:szCs w:val="21"/>
              </w:rPr>
            </w:pPr>
          </w:p>
        </w:tc>
        <w:tc>
          <w:tcPr>
            <w:tcW w:w="1134" w:type="dxa"/>
            <w:vAlign w:val="center"/>
          </w:tcPr>
          <w:p>
            <w:pPr>
              <w:widowControl/>
              <w:jc w:val="right"/>
              <w:rPr>
                <w:rFonts w:ascii="宋体" w:hAnsi="宋体" w:cs="宋体"/>
                <w:color w:val="000000"/>
                <w:kern w:val="0"/>
                <w:szCs w:val="21"/>
              </w:rPr>
            </w:pPr>
          </w:p>
        </w:tc>
        <w:tc>
          <w:tcPr>
            <w:tcW w:w="1166"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51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专项统计调查</w:t>
            </w:r>
          </w:p>
        </w:tc>
        <w:tc>
          <w:tcPr>
            <w:tcW w:w="1559" w:type="dxa"/>
            <w:vAlign w:val="center"/>
          </w:tcPr>
          <w:p>
            <w:pPr>
              <w:widowControl/>
              <w:jc w:val="left"/>
              <w:rPr>
                <w:rFonts w:ascii="宋体" w:hAnsi="宋体" w:cs="宋体"/>
                <w:color w:val="000000"/>
                <w:kern w:val="0"/>
                <w:szCs w:val="21"/>
              </w:rPr>
            </w:pPr>
          </w:p>
        </w:tc>
        <w:tc>
          <w:tcPr>
            <w:tcW w:w="993" w:type="dxa"/>
            <w:vAlign w:val="center"/>
          </w:tcPr>
          <w:p>
            <w:pPr>
              <w:widowControl/>
              <w:jc w:val="left"/>
              <w:rPr>
                <w:rFonts w:ascii="宋体" w:hAnsi="宋体" w:cs="宋体"/>
                <w:color w:val="000000"/>
                <w:kern w:val="0"/>
                <w:szCs w:val="21"/>
              </w:rPr>
            </w:pPr>
          </w:p>
        </w:tc>
        <w:tc>
          <w:tcPr>
            <w:tcW w:w="1134" w:type="dxa"/>
            <w:vAlign w:val="center"/>
          </w:tcPr>
          <w:p>
            <w:pPr>
              <w:widowControl/>
              <w:jc w:val="left"/>
              <w:rPr>
                <w:rFonts w:ascii="宋体" w:hAnsi="宋体" w:cs="宋体"/>
                <w:color w:val="000000"/>
                <w:kern w:val="0"/>
                <w:szCs w:val="21"/>
              </w:rPr>
            </w:pPr>
          </w:p>
        </w:tc>
        <w:tc>
          <w:tcPr>
            <w:tcW w:w="1134" w:type="dxa"/>
            <w:vAlign w:val="center"/>
          </w:tcPr>
          <w:p>
            <w:pPr>
              <w:widowControl/>
              <w:jc w:val="left"/>
              <w:rPr>
                <w:rFonts w:ascii="宋体" w:hAnsi="宋体" w:cs="宋体"/>
                <w:color w:val="000000"/>
                <w:kern w:val="0"/>
                <w:szCs w:val="21"/>
              </w:rPr>
            </w:pPr>
          </w:p>
        </w:tc>
        <w:tc>
          <w:tcPr>
            <w:tcW w:w="850" w:type="dxa"/>
            <w:vAlign w:val="center"/>
          </w:tcPr>
          <w:p>
            <w:pPr>
              <w:widowControl/>
              <w:jc w:val="lef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276"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134" w:type="dxa"/>
            <w:vAlign w:val="center"/>
          </w:tcPr>
          <w:p>
            <w:pPr>
              <w:widowControl/>
              <w:jc w:val="right"/>
              <w:rPr>
                <w:rFonts w:ascii="宋体" w:hAnsi="宋体" w:cs="宋体"/>
                <w:color w:val="000000"/>
                <w:kern w:val="0"/>
                <w:szCs w:val="21"/>
              </w:rPr>
            </w:pPr>
          </w:p>
        </w:tc>
        <w:tc>
          <w:tcPr>
            <w:tcW w:w="1134" w:type="dxa"/>
            <w:vAlign w:val="center"/>
          </w:tcPr>
          <w:p>
            <w:pPr>
              <w:widowControl/>
              <w:jc w:val="right"/>
              <w:rPr>
                <w:rFonts w:ascii="宋体" w:hAnsi="宋体" w:cs="宋体"/>
                <w:color w:val="000000"/>
                <w:kern w:val="0"/>
                <w:szCs w:val="21"/>
              </w:rPr>
            </w:pPr>
          </w:p>
        </w:tc>
        <w:tc>
          <w:tcPr>
            <w:tcW w:w="1166"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51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1559"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唐山市统计局</w:t>
            </w:r>
          </w:p>
        </w:tc>
        <w:tc>
          <w:tcPr>
            <w:tcW w:w="993"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2010507</w:t>
            </w:r>
          </w:p>
        </w:tc>
        <w:tc>
          <w:tcPr>
            <w:tcW w:w="1134" w:type="dxa"/>
            <w:vAlign w:val="center"/>
          </w:tcPr>
          <w:p>
            <w:pPr>
              <w:widowControl/>
              <w:jc w:val="left"/>
              <w:rPr>
                <w:rFonts w:ascii="宋体" w:hAnsi="宋体" w:cs="宋体"/>
                <w:color w:val="000000"/>
                <w:kern w:val="0"/>
                <w:szCs w:val="21"/>
              </w:rPr>
            </w:pPr>
            <w:r>
              <w:rPr>
                <w:rFonts w:ascii="宋体" w:hAnsi="宋体" w:cs="宋体"/>
                <w:color w:val="000000"/>
                <w:kern w:val="0"/>
                <w:szCs w:val="21"/>
              </w:rPr>
              <w:t>05-大型专项业务</w:t>
            </w:r>
          </w:p>
        </w:tc>
        <w:tc>
          <w:tcPr>
            <w:tcW w:w="1134" w:type="dxa"/>
            <w:vAlign w:val="center"/>
          </w:tcPr>
          <w:p>
            <w:pPr>
              <w:widowControl/>
              <w:jc w:val="left"/>
              <w:rPr>
                <w:rFonts w:ascii="宋体" w:hAnsi="宋体" w:cs="宋体"/>
                <w:color w:val="000000"/>
                <w:kern w:val="0"/>
                <w:szCs w:val="21"/>
              </w:rPr>
            </w:pPr>
            <w:r>
              <w:rPr>
                <w:rFonts w:ascii="宋体" w:hAnsi="宋体" w:cs="宋体"/>
                <w:color w:val="000000"/>
                <w:kern w:val="0"/>
                <w:szCs w:val="21"/>
              </w:rPr>
              <w:t>0501 专项事务</w:t>
            </w:r>
          </w:p>
        </w:tc>
        <w:tc>
          <w:tcPr>
            <w:tcW w:w="85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本级</w:t>
            </w:r>
          </w:p>
        </w:tc>
        <w:tc>
          <w:tcPr>
            <w:tcW w:w="1276" w:type="dxa"/>
            <w:vAlign w:val="center"/>
          </w:tcPr>
          <w:p>
            <w:pPr>
              <w:widowControl/>
              <w:jc w:val="right"/>
              <w:rPr>
                <w:rFonts w:ascii="宋体" w:hAnsi="宋体" w:cs="宋体"/>
                <w:color w:val="000000"/>
                <w:kern w:val="0"/>
                <w:szCs w:val="21"/>
              </w:rPr>
            </w:pPr>
            <w:r>
              <w:rPr>
                <w:rFonts w:ascii="宋体" w:hAnsi="宋体" w:cs="宋体"/>
                <w:color w:val="000000"/>
                <w:kern w:val="0"/>
                <w:szCs w:val="21"/>
              </w:rPr>
              <w:t>88.09</w:t>
            </w:r>
          </w:p>
        </w:tc>
        <w:tc>
          <w:tcPr>
            <w:tcW w:w="1276"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88.09</w:t>
            </w:r>
          </w:p>
        </w:tc>
        <w:tc>
          <w:tcPr>
            <w:tcW w:w="1134" w:type="dxa"/>
            <w:vAlign w:val="center"/>
          </w:tcPr>
          <w:p>
            <w:pPr>
              <w:widowControl/>
              <w:jc w:val="right"/>
              <w:rPr>
                <w:rFonts w:ascii="宋体" w:hAnsi="宋体" w:cs="宋体"/>
                <w:color w:val="000000"/>
                <w:kern w:val="0"/>
                <w:szCs w:val="21"/>
              </w:rPr>
            </w:pPr>
          </w:p>
        </w:tc>
        <w:tc>
          <w:tcPr>
            <w:tcW w:w="1134" w:type="dxa"/>
            <w:vAlign w:val="center"/>
          </w:tcPr>
          <w:p>
            <w:pPr>
              <w:widowControl/>
              <w:jc w:val="right"/>
              <w:rPr>
                <w:rFonts w:ascii="宋体" w:hAnsi="宋体" w:cs="宋体"/>
                <w:color w:val="000000"/>
                <w:kern w:val="0"/>
                <w:szCs w:val="21"/>
              </w:rPr>
            </w:pPr>
          </w:p>
        </w:tc>
        <w:tc>
          <w:tcPr>
            <w:tcW w:w="1166"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51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1559"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唐山市统计局</w:t>
            </w:r>
          </w:p>
        </w:tc>
        <w:tc>
          <w:tcPr>
            <w:tcW w:w="993" w:type="dxa"/>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1134" w:type="dxa"/>
            <w:vAlign w:val="center"/>
          </w:tcPr>
          <w:p>
            <w:pPr>
              <w:widowControl/>
              <w:jc w:val="left"/>
              <w:rPr>
                <w:rFonts w:ascii="宋体" w:hAnsi="宋体" w:cs="宋体"/>
                <w:color w:val="000000"/>
                <w:kern w:val="0"/>
                <w:szCs w:val="21"/>
              </w:rPr>
            </w:pPr>
            <w:r>
              <w:rPr>
                <w:rFonts w:ascii="宋体" w:hAnsi="宋体" w:cs="宋体"/>
                <w:color w:val="000000"/>
                <w:kern w:val="0"/>
                <w:szCs w:val="21"/>
              </w:rPr>
              <w:t>05-大型专项业务</w:t>
            </w:r>
          </w:p>
        </w:tc>
        <w:tc>
          <w:tcPr>
            <w:tcW w:w="1134" w:type="dxa"/>
            <w:vAlign w:val="center"/>
          </w:tcPr>
          <w:p>
            <w:pPr>
              <w:widowControl/>
              <w:jc w:val="left"/>
              <w:rPr>
                <w:rFonts w:ascii="宋体" w:hAnsi="宋体" w:cs="宋体"/>
                <w:color w:val="000000"/>
                <w:kern w:val="0"/>
                <w:szCs w:val="21"/>
              </w:rPr>
            </w:pPr>
            <w:r>
              <w:rPr>
                <w:rFonts w:ascii="宋体" w:hAnsi="宋体" w:cs="宋体"/>
                <w:color w:val="000000"/>
                <w:kern w:val="0"/>
                <w:szCs w:val="21"/>
              </w:rPr>
              <w:t>0501 专项事务</w:t>
            </w:r>
          </w:p>
        </w:tc>
        <w:tc>
          <w:tcPr>
            <w:tcW w:w="85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本级</w:t>
            </w:r>
          </w:p>
        </w:tc>
        <w:tc>
          <w:tcPr>
            <w:tcW w:w="1276" w:type="dxa"/>
            <w:vAlign w:val="center"/>
          </w:tcPr>
          <w:p>
            <w:pPr>
              <w:widowControl/>
              <w:jc w:val="right"/>
              <w:rPr>
                <w:rFonts w:ascii="宋体" w:hAnsi="宋体" w:cs="宋体"/>
                <w:color w:val="000000"/>
                <w:kern w:val="0"/>
                <w:szCs w:val="21"/>
              </w:rPr>
            </w:pPr>
            <w:r>
              <w:rPr>
                <w:rFonts w:ascii="宋体" w:hAnsi="宋体" w:cs="宋体"/>
                <w:color w:val="000000"/>
                <w:kern w:val="0"/>
                <w:szCs w:val="21"/>
              </w:rPr>
              <w:t>19.00</w:t>
            </w:r>
          </w:p>
        </w:tc>
        <w:tc>
          <w:tcPr>
            <w:tcW w:w="1276"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19.00</w:t>
            </w:r>
          </w:p>
        </w:tc>
        <w:tc>
          <w:tcPr>
            <w:tcW w:w="1134" w:type="dxa"/>
            <w:vAlign w:val="center"/>
          </w:tcPr>
          <w:p>
            <w:pPr>
              <w:widowControl/>
              <w:jc w:val="right"/>
              <w:rPr>
                <w:rFonts w:ascii="宋体" w:hAnsi="宋体" w:cs="宋体"/>
                <w:color w:val="000000"/>
                <w:kern w:val="0"/>
                <w:szCs w:val="21"/>
              </w:rPr>
            </w:pPr>
          </w:p>
        </w:tc>
        <w:tc>
          <w:tcPr>
            <w:tcW w:w="1134" w:type="dxa"/>
            <w:vAlign w:val="center"/>
          </w:tcPr>
          <w:p>
            <w:pPr>
              <w:widowControl/>
              <w:jc w:val="right"/>
              <w:rPr>
                <w:rFonts w:ascii="宋体" w:hAnsi="宋体" w:cs="宋体"/>
                <w:color w:val="000000"/>
                <w:kern w:val="0"/>
                <w:szCs w:val="21"/>
              </w:rPr>
            </w:pPr>
          </w:p>
        </w:tc>
        <w:tc>
          <w:tcPr>
            <w:tcW w:w="1166"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51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1559"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唐山市统计局</w:t>
            </w:r>
          </w:p>
        </w:tc>
        <w:tc>
          <w:tcPr>
            <w:tcW w:w="993"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2010507</w:t>
            </w:r>
          </w:p>
        </w:tc>
        <w:tc>
          <w:tcPr>
            <w:tcW w:w="1134" w:type="dxa"/>
            <w:vAlign w:val="center"/>
          </w:tcPr>
          <w:p>
            <w:pPr>
              <w:widowControl/>
              <w:jc w:val="left"/>
              <w:rPr>
                <w:rFonts w:ascii="宋体" w:hAnsi="宋体" w:cs="宋体"/>
                <w:color w:val="000000"/>
                <w:kern w:val="0"/>
                <w:szCs w:val="21"/>
              </w:rPr>
            </w:pPr>
            <w:r>
              <w:rPr>
                <w:rFonts w:ascii="宋体" w:hAnsi="宋体" w:cs="宋体"/>
                <w:color w:val="000000"/>
                <w:kern w:val="0"/>
                <w:szCs w:val="21"/>
              </w:rPr>
              <w:t>05-大型专项业务</w:t>
            </w:r>
          </w:p>
        </w:tc>
        <w:tc>
          <w:tcPr>
            <w:tcW w:w="1134" w:type="dxa"/>
            <w:vAlign w:val="center"/>
          </w:tcPr>
          <w:p>
            <w:pPr>
              <w:widowControl/>
              <w:jc w:val="left"/>
              <w:rPr>
                <w:rFonts w:ascii="宋体" w:hAnsi="宋体" w:cs="宋体"/>
                <w:color w:val="000000"/>
                <w:kern w:val="0"/>
                <w:szCs w:val="21"/>
              </w:rPr>
            </w:pPr>
            <w:r>
              <w:rPr>
                <w:rFonts w:ascii="宋体" w:hAnsi="宋体" w:cs="宋体"/>
                <w:color w:val="000000"/>
                <w:kern w:val="0"/>
                <w:szCs w:val="21"/>
              </w:rPr>
              <w:t>0502 大宗印刷</w:t>
            </w:r>
          </w:p>
        </w:tc>
        <w:tc>
          <w:tcPr>
            <w:tcW w:w="85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本级</w:t>
            </w:r>
          </w:p>
        </w:tc>
        <w:tc>
          <w:tcPr>
            <w:tcW w:w="1276" w:type="dxa"/>
            <w:vAlign w:val="center"/>
          </w:tcPr>
          <w:p>
            <w:pPr>
              <w:widowControl/>
              <w:jc w:val="right"/>
              <w:rPr>
                <w:rFonts w:ascii="宋体" w:hAnsi="宋体" w:cs="宋体"/>
                <w:color w:val="000000"/>
                <w:kern w:val="0"/>
                <w:szCs w:val="21"/>
              </w:rPr>
            </w:pPr>
            <w:r>
              <w:rPr>
                <w:rFonts w:ascii="宋体" w:hAnsi="宋体" w:cs="宋体"/>
                <w:color w:val="000000"/>
                <w:kern w:val="0"/>
                <w:szCs w:val="21"/>
              </w:rPr>
              <w:t>47.91</w:t>
            </w:r>
          </w:p>
        </w:tc>
        <w:tc>
          <w:tcPr>
            <w:tcW w:w="1276"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47.91</w:t>
            </w:r>
          </w:p>
        </w:tc>
        <w:tc>
          <w:tcPr>
            <w:tcW w:w="1134" w:type="dxa"/>
            <w:vAlign w:val="center"/>
          </w:tcPr>
          <w:p>
            <w:pPr>
              <w:widowControl/>
              <w:jc w:val="right"/>
              <w:rPr>
                <w:rFonts w:ascii="宋体" w:hAnsi="宋体" w:cs="宋体"/>
                <w:color w:val="000000"/>
                <w:kern w:val="0"/>
                <w:szCs w:val="21"/>
              </w:rPr>
            </w:pPr>
          </w:p>
        </w:tc>
        <w:tc>
          <w:tcPr>
            <w:tcW w:w="1134" w:type="dxa"/>
            <w:vAlign w:val="center"/>
          </w:tcPr>
          <w:p>
            <w:pPr>
              <w:widowControl/>
              <w:jc w:val="right"/>
              <w:rPr>
                <w:rFonts w:ascii="宋体" w:hAnsi="宋体" w:cs="宋体"/>
                <w:color w:val="000000"/>
                <w:kern w:val="0"/>
                <w:szCs w:val="21"/>
              </w:rPr>
            </w:pPr>
          </w:p>
        </w:tc>
        <w:tc>
          <w:tcPr>
            <w:tcW w:w="1166" w:type="dxa"/>
            <w:vAlign w:val="center"/>
          </w:tcPr>
          <w:p>
            <w:pPr>
              <w:widowControl/>
              <w:jc w:val="right"/>
              <w:rPr>
                <w:rFonts w:ascii="宋体" w:hAnsi="宋体" w:cs="宋体"/>
                <w:color w:val="000000"/>
                <w:kern w:val="0"/>
                <w:szCs w:val="21"/>
              </w:rPr>
            </w:pPr>
          </w:p>
        </w:tc>
      </w:tr>
    </w:tbl>
    <w:p>
      <w:pPr>
        <w:spacing w:line="20" w:lineRule="exact"/>
      </w:pPr>
    </w:p>
    <w:p>
      <w:pPr>
        <w:jc w:val="left"/>
        <w:sectPr>
          <w:headerReference r:id="rId14" w:type="default"/>
          <w:pgSz w:w="16838" w:h="11906" w:orient="landscape"/>
          <w:pgMar w:top="1800" w:right="1440" w:bottom="1800" w:left="1440" w:header="851" w:footer="992" w:gutter="0"/>
          <w:cols w:space="720" w:num="1"/>
          <w:docGrid w:type="lines" w:linePitch="312"/>
        </w:sectPr>
      </w:pPr>
    </w:p>
    <w:p>
      <w:pPr>
        <w:pStyle w:val="10"/>
      </w:pPr>
      <w:bookmarkStart w:id="7" w:name="_Toc476153807"/>
      <w:r>
        <w:rPr>
          <w:rFonts w:hint="eastAsia"/>
        </w:rPr>
        <w:t>部门“三公”及会议培训经费预算</w:t>
      </w:r>
      <w:bookmarkEnd w:id="7"/>
    </w:p>
    <w:tbl>
      <w:tblPr>
        <w:tblW w:w="13113" w:type="dxa"/>
        <w:jc w:val="center"/>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39"/>
        <w:gridCol w:w="4384"/>
        <w:gridCol w:w="809"/>
        <w:gridCol w:w="1034"/>
        <w:gridCol w:w="1701"/>
        <w:gridCol w:w="1701"/>
        <w:gridCol w:w="1559"/>
        <w:gridCol w:w="888"/>
        <w:gridCol w:w="598"/>
      </w:tblGrid>
      <w:tr>
        <w:trPr>
          <w:gridBefore w:val="1"/>
          <w:gridAfter w:val="1"/>
          <w:wBefore w:w="439" w:type="dxa"/>
          <w:wAfter w:w="598" w:type="dxa"/>
          <w:cantSplit/>
          <w:trHeight w:val="270" w:hRule="atLeast"/>
          <w:tblHeader/>
          <w:jc w:val="center"/>
        </w:trPr>
        <w:tc>
          <w:tcPr>
            <w:tcW w:w="5193" w:type="dxa"/>
            <w:gridSpan w:val="2"/>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212唐山市统计局</w:t>
            </w:r>
          </w:p>
        </w:tc>
        <w:tc>
          <w:tcPr>
            <w:tcW w:w="6883" w:type="dxa"/>
            <w:gridSpan w:val="5"/>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1" w:hRule="atLeast"/>
          <w:tblHeader/>
          <w:jc w:val="center"/>
        </w:trPr>
        <w:tc>
          <w:tcPr>
            <w:tcW w:w="4823"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290" w:type="dxa"/>
            <w:gridSpan w:val="7"/>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4823" w:type="dxa"/>
            <w:gridSpan w:val="2"/>
            <w:vMerge w:val="continue"/>
            <w:vAlign w:val="center"/>
          </w:tcPr>
          <w:p>
            <w:pPr>
              <w:widowControl/>
              <w:jc w:val="center"/>
              <w:rPr>
                <w:rFonts w:ascii="黑体" w:hAnsi="黑体" w:eastAsia="黑体" w:cs="宋体"/>
                <w:b/>
                <w:color w:val="000000"/>
                <w:kern w:val="0"/>
                <w:szCs w:val="21"/>
              </w:rPr>
            </w:pPr>
          </w:p>
        </w:tc>
        <w:tc>
          <w:tcPr>
            <w:tcW w:w="1843"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559"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486"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4823" w:type="dxa"/>
            <w:gridSpan w:val="2"/>
            <w:vMerge w:val="continue"/>
            <w:vAlign w:val="center"/>
          </w:tcPr>
          <w:p>
            <w:pPr>
              <w:widowControl/>
              <w:jc w:val="center"/>
              <w:rPr>
                <w:rFonts w:ascii="宋体" w:hAnsi="宋体" w:cs="宋体"/>
                <w:b/>
                <w:color w:val="000000"/>
                <w:kern w:val="0"/>
                <w:sz w:val="22"/>
              </w:rPr>
            </w:pPr>
          </w:p>
        </w:tc>
        <w:tc>
          <w:tcPr>
            <w:tcW w:w="1843" w:type="dxa"/>
            <w:gridSpan w:val="2"/>
            <w:vMerge w:val="continue"/>
            <w:vAlign w:val="center"/>
          </w:tcPr>
          <w:p>
            <w:pPr>
              <w:widowControl/>
              <w:jc w:val="center"/>
              <w:rPr>
                <w:rFonts w:ascii="宋体" w:hAnsi="宋体" w:cs="宋体"/>
                <w:b/>
                <w:color w:val="000000"/>
                <w:kern w:val="0"/>
                <w:sz w:val="22"/>
              </w:rPr>
            </w:pPr>
          </w:p>
        </w:tc>
        <w:tc>
          <w:tcPr>
            <w:tcW w:w="1701" w:type="dxa"/>
            <w:vMerge w:val="continue"/>
            <w:vAlign w:val="center"/>
          </w:tcPr>
          <w:p>
            <w:pPr>
              <w:widowControl/>
              <w:jc w:val="center"/>
              <w:rPr>
                <w:rFonts w:ascii="宋体" w:hAnsi="宋体" w:cs="宋体"/>
                <w:b/>
                <w:color w:val="000000"/>
                <w:kern w:val="0"/>
                <w:sz w:val="22"/>
              </w:rPr>
            </w:pPr>
          </w:p>
        </w:tc>
        <w:tc>
          <w:tcPr>
            <w:tcW w:w="1701" w:type="dxa"/>
            <w:vMerge w:val="continue"/>
            <w:vAlign w:val="center"/>
          </w:tcPr>
          <w:p>
            <w:pPr>
              <w:widowControl/>
              <w:jc w:val="center"/>
              <w:rPr>
                <w:rFonts w:ascii="宋体" w:hAnsi="宋体" w:cs="宋体"/>
                <w:b/>
                <w:color w:val="000000"/>
                <w:kern w:val="0"/>
                <w:sz w:val="22"/>
              </w:rPr>
            </w:pPr>
          </w:p>
        </w:tc>
        <w:tc>
          <w:tcPr>
            <w:tcW w:w="1559" w:type="dxa"/>
            <w:vMerge w:val="continue"/>
            <w:vAlign w:val="center"/>
          </w:tcPr>
          <w:p>
            <w:pPr>
              <w:widowControl/>
              <w:jc w:val="center"/>
              <w:rPr>
                <w:rFonts w:ascii="宋体" w:hAnsi="宋体" w:cs="宋体"/>
                <w:b/>
                <w:color w:val="000000"/>
                <w:kern w:val="0"/>
                <w:sz w:val="22"/>
              </w:rPr>
            </w:pPr>
          </w:p>
        </w:tc>
        <w:tc>
          <w:tcPr>
            <w:tcW w:w="1486" w:type="dxa"/>
            <w:gridSpan w:val="2"/>
            <w:vMerge w:val="continue"/>
            <w:vAlign w:val="center"/>
          </w:tcPr>
          <w:p>
            <w:pPr>
              <w:widowControl/>
              <w:jc w:val="center"/>
              <w:rPr>
                <w:rFonts w:ascii="宋体" w:hAns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tblHeader/>
          <w:jc w:val="center"/>
        </w:trPr>
        <w:tc>
          <w:tcPr>
            <w:tcW w:w="4823" w:type="dxa"/>
            <w:gridSpan w:val="2"/>
            <w:vMerge w:val="continue"/>
            <w:vAlign w:val="center"/>
          </w:tcPr>
          <w:p>
            <w:pPr>
              <w:widowControl/>
              <w:jc w:val="left"/>
              <w:rPr>
                <w:rFonts w:ascii="宋体" w:hAnsi="宋体" w:cs="宋体"/>
                <w:color w:val="000000"/>
                <w:kern w:val="0"/>
                <w:szCs w:val="21"/>
              </w:rPr>
            </w:pPr>
          </w:p>
        </w:tc>
        <w:tc>
          <w:tcPr>
            <w:tcW w:w="1843" w:type="dxa"/>
            <w:gridSpan w:val="2"/>
            <w:vMerge w:val="continue"/>
            <w:vAlign w:val="center"/>
          </w:tcPr>
          <w:p>
            <w:pPr>
              <w:widowControl/>
              <w:jc w:val="righ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559" w:type="dxa"/>
            <w:vMerge w:val="continue"/>
            <w:vAlign w:val="center"/>
          </w:tcPr>
          <w:p>
            <w:pPr>
              <w:widowControl/>
              <w:jc w:val="right"/>
              <w:rPr>
                <w:rFonts w:ascii="宋体" w:hAnsi="宋体" w:cs="宋体"/>
                <w:color w:val="000000"/>
                <w:kern w:val="0"/>
                <w:szCs w:val="21"/>
              </w:rPr>
            </w:pPr>
          </w:p>
        </w:tc>
        <w:tc>
          <w:tcPr>
            <w:tcW w:w="1486" w:type="dxa"/>
            <w:gridSpan w:val="2"/>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一、“三公”经费小计</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22.04</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22.04</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（一）因公出国境费用</w:t>
            </w:r>
          </w:p>
        </w:tc>
        <w:tc>
          <w:tcPr>
            <w:tcW w:w="1843" w:type="dxa"/>
            <w:gridSpan w:val="2"/>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（二）公务用车购置及运维费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21.00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21.00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公务用车运行维护费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21.00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21.00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（三）公务接待费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1.04</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1.04</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二、会议费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23.36</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23.36</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三、培训费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59.32</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59.32</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合计</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104.72</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104.72</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bl>
    <w:p>
      <w:pPr>
        <w:spacing w:line="20" w:lineRule="exact"/>
      </w:pPr>
    </w:p>
    <w:p>
      <w:pPr>
        <w:jc w:val="left"/>
        <w:sectPr>
          <w:headerReference r:id="rId15" w:type="default"/>
          <w:pgSz w:w="16838" w:h="11906" w:orient="landscape"/>
          <w:pgMar w:top="1800" w:right="1440" w:bottom="1800" w:left="1440" w:header="851" w:footer="992" w:gutter="0"/>
          <w:cols w:space="720" w:num="1"/>
          <w:docGrid w:type="lines" w:linePitch="312"/>
        </w:sectPr>
      </w:pPr>
    </w:p>
    <w:p>
      <w:pPr>
        <w:pStyle w:val="10"/>
      </w:pPr>
      <w:bookmarkStart w:id="8" w:name="_Toc476153808"/>
      <w:r>
        <w:rPr>
          <w:rFonts w:hint="eastAsia"/>
        </w:rPr>
        <w:t>部门政府采购预算</w:t>
      </w:r>
      <w:bookmarkEnd w:id="8"/>
      <w:r>
        <w:rPr>
          <w:rFonts w:hint="eastAsia"/>
          <w:sz w:val="28"/>
        </w:rPr>
        <w:t xml:space="preserve">                      </w:t>
      </w:r>
      <w:r>
        <w:t xml:space="preserve">                                                </w:t>
      </w:r>
    </w:p>
    <w:tbl>
      <w:tblPr>
        <w:tblW w:w="15254" w:type="dxa"/>
        <w:jc w:val="center"/>
        <w:tblInd w:w="-1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47"/>
        <w:gridCol w:w="992"/>
        <w:gridCol w:w="1701"/>
        <w:gridCol w:w="710"/>
        <w:gridCol w:w="1371"/>
        <w:gridCol w:w="1276"/>
        <w:gridCol w:w="850"/>
        <w:gridCol w:w="567"/>
        <w:gridCol w:w="741"/>
        <w:gridCol w:w="498"/>
        <w:gridCol w:w="980"/>
        <w:gridCol w:w="980"/>
        <w:gridCol w:w="980"/>
        <w:gridCol w:w="980"/>
        <w:gridCol w:w="981"/>
      </w:tblGrid>
      <w:tr>
        <w:trPr>
          <w:cantSplit/>
          <w:trHeight w:val="232" w:hRule="atLeast"/>
          <w:tblHeader/>
          <w:jc w:val="center"/>
        </w:trPr>
        <w:tc>
          <w:tcPr>
            <w:tcW w:w="10353" w:type="dxa"/>
            <w:gridSpan w:val="10"/>
            <w:tcBorders>
              <w:top w:val="nil"/>
              <w:left w:val="nil"/>
              <w:bottom w:val="single" w:color="auto" w:sz="4" w:space="0"/>
              <w:right w:val="nil"/>
            </w:tcBorders>
            <w:vAlign w:val="center"/>
          </w:tcPr>
          <w:p>
            <w:pPr>
              <w:widowControl/>
              <w:jc w:val="left"/>
              <w:rPr>
                <w:rFonts w:ascii="黑体" w:hAnsi="黑体" w:eastAsia="黑体" w:cs="宋体"/>
                <w:b/>
                <w:bCs/>
                <w:color w:val="000000"/>
                <w:kern w:val="0"/>
                <w:szCs w:val="21"/>
              </w:rPr>
            </w:pPr>
            <w:r>
              <w:rPr>
                <w:rFonts w:ascii="宋体" w:hAnsi="宋体"/>
                <w:sz w:val="28"/>
              </w:rPr>
              <w:t>212唐山市统计局</w:t>
            </w:r>
          </w:p>
        </w:tc>
        <w:tc>
          <w:tcPr>
            <w:tcW w:w="4901" w:type="dxa"/>
            <w:gridSpan w:val="5"/>
            <w:tcBorders>
              <w:top w:val="nil"/>
              <w:left w:val="nil"/>
              <w:bottom w:val="single" w:color="auto" w:sz="4" w:space="0"/>
              <w:right w:val="nil"/>
            </w:tcBorders>
            <w:vAlign w:val="center"/>
          </w:tcPr>
          <w:p>
            <w:pPr>
              <w:widowControl/>
              <w:jc w:val="right"/>
              <w:rPr>
                <w:rFonts w:ascii="黑体" w:hAnsi="黑体" w:eastAsia="黑体" w:cs="宋体"/>
                <w:b/>
                <w:bCs/>
                <w:color w:val="000000"/>
                <w:kern w:val="0"/>
                <w:szCs w:val="21"/>
              </w:rPr>
            </w:pPr>
            <w:r>
              <w:rPr>
                <w:rFonts w:ascii="宋体" w:hAnsi="宋体"/>
                <w:sz w:val="24"/>
              </w:rPr>
              <w:t>单位：万元</w:t>
            </w:r>
          </w:p>
        </w:tc>
      </w:tr>
      <w:tr>
        <w:trPr>
          <w:cantSplit/>
          <w:trHeight w:val="232" w:hRule="atLeast"/>
          <w:tblHeader/>
          <w:jc w:val="center"/>
        </w:trPr>
        <w:tc>
          <w:tcPr>
            <w:tcW w:w="1647" w:type="dxa"/>
            <w:vMerge w:val="restart"/>
            <w:tcBorders>
              <w:top w:val="single" w:color="auto" w:sz="4" w:space="0"/>
            </w:tcBorders>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单位名称</w:t>
            </w:r>
          </w:p>
        </w:tc>
        <w:tc>
          <w:tcPr>
            <w:tcW w:w="3403" w:type="dxa"/>
            <w:gridSpan w:val="3"/>
            <w:tcBorders>
              <w:top w:val="single" w:color="auto" w:sz="4" w:space="0"/>
            </w:tcBorders>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所属项目</w:t>
            </w:r>
          </w:p>
        </w:tc>
        <w:tc>
          <w:tcPr>
            <w:tcW w:w="1371" w:type="dxa"/>
            <w:vMerge w:val="restart"/>
            <w:tcBorders>
              <w:top w:val="single" w:color="auto" w:sz="4" w:space="0"/>
            </w:tcBorders>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政府采购目录序号</w:t>
            </w:r>
          </w:p>
        </w:tc>
        <w:tc>
          <w:tcPr>
            <w:tcW w:w="1276" w:type="dxa"/>
            <w:vMerge w:val="restart"/>
            <w:tcBorders>
              <w:top w:val="single" w:color="auto" w:sz="4" w:space="0"/>
            </w:tcBorders>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采购物品名称</w:t>
            </w:r>
          </w:p>
        </w:tc>
        <w:tc>
          <w:tcPr>
            <w:tcW w:w="850" w:type="dxa"/>
            <w:vMerge w:val="restart"/>
            <w:tcBorders>
              <w:top w:val="single" w:color="auto" w:sz="4" w:space="0"/>
            </w:tcBorders>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产品规格</w:t>
            </w:r>
          </w:p>
        </w:tc>
        <w:tc>
          <w:tcPr>
            <w:tcW w:w="567" w:type="dxa"/>
            <w:vMerge w:val="restart"/>
            <w:tcBorders>
              <w:top w:val="single" w:color="auto" w:sz="4" w:space="0"/>
            </w:tcBorders>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单位</w:t>
            </w:r>
          </w:p>
        </w:tc>
        <w:tc>
          <w:tcPr>
            <w:tcW w:w="741" w:type="dxa"/>
            <w:vMerge w:val="restart"/>
            <w:tcBorders>
              <w:top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单价(元)</w:t>
            </w:r>
          </w:p>
        </w:tc>
        <w:tc>
          <w:tcPr>
            <w:tcW w:w="498" w:type="dxa"/>
            <w:vMerge w:val="restart"/>
            <w:tcBorders>
              <w:top w:val="single" w:color="auto" w:sz="4" w:space="0"/>
            </w:tcBorders>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数量</w:t>
            </w:r>
          </w:p>
        </w:tc>
        <w:tc>
          <w:tcPr>
            <w:tcW w:w="4901" w:type="dxa"/>
            <w:gridSpan w:val="5"/>
            <w:tcBorders>
              <w:top w:val="single" w:color="auto" w:sz="4" w:space="0"/>
            </w:tcBorders>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政府采购金额</w:t>
            </w:r>
          </w:p>
        </w:tc>
      </w:tr>
      <w:tr>
        <w:trPr>
          <w:cantSplit/>
          <w:trHeight w:val="232" w:hRule="atLeast"/>
          <w:tblHeader/>
          <w:jc w:val="center"/>
        </w:trPr>
        <w:tc>
          <w:tcPr>
            <w:tcW w:w="1647" w:type="dxa"/>
            <w:vMerge w:val="continue"/>
            <w:vAlign w:val="center"/>
          </w:tcPr>
          <w:p>
            <w:pPr>
              <w:widowControl/>
              <w:jc w:val="center"/>
              <w:rPr>
                <w:rFonts w:ascii="黑体" w:hAnsi="黑体" w:eastAsia="黑体" w:cs="宋体"/>
                <w:b/>
                <w:color w:val="000000"/>
                <w:kern w:val="0"/>
                <w:szCs w:val="21"/>
              </w:rPr>
            </w:pPr>
          </w:p>
        </w:tc>
        <w:tc>
          <w:tcPr>
            <w:tcW w:w="992"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功能分类科目编码</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项目名称</w:t>
            </w:r>
          </w:p>
        </w:tc>
        <w:tc>
          <w:tcPr>
            <w:tcW w:w="710"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项目类型</w:t>
            </w:r>
          </w:p>
        </w:tc>
        <w:tc>
          <w:tcPr>
            <w:tcW w:w="1371" w:type="dxa"/>
            <w:vMerge w:val="continue"/>
            <w:vAlign w:val="center"/>
          </w:tcPr>
          <w:p>
            <w:pPr>
              <w:widowControl/>
              <w:jc w:val="center"/>
              <w:rPr>
                <w:rFonts w:ascii="黑体" w:hAnsi="黑体" w:eastAsia="黑体" w:cs="宋体"/>
                <w:b/>
                <w:color w:val="000000"/>
                <w:kern w:val="0"/>
                <w:szCs w:val="21"/>
              </w:rPr>
            </w:pPr>
          </w:p>
        </w:tc>
        <w:tc>
          <w:tcPr>
            <w:tcW w:w="1276" w:type="dxa"/>
            <w:vMerge w:val="continue"/>
            <w:vAlign w:val="center"/>
          </w:tcPr>
          <w:p>
            <w:pPr>
              <w:widowControl/>
              <w:jc w:val="center"/>
              <w:rPr>
                <w:rFonts w:ascii="黑体" w:hAnsi="黑体" w:eastAsia="黑体" w:cs="宋体"/>
                <w:b/>
                <w:color w:val="000000"/>
                <w:kern w:val="0"/>
                <w:szCs w:val="21"/>
              </w:rPr>
            </w:pPr>
          </w:p>
        </w:tc>
        <w:tc>
          <w:tcPr>
            <w:tcW w:w="850" w:type="dxa"/>
            <w:vMerge w:val="continue"/>
            <w:vAlign w:val="center"/>
          </w:tcPr>
          <w:p>
            <w:pPr>
              <w:widowControl/>
              <w:jc w:val="center"/>
              <w:rPr>
                <w:rFonts w:ascii="黑体" w:hAnsi="黑体" w:eastAsia="黑体" w:cs="宋体"/>
                <w:b/>
                <w:color w:val="000000"/>
                <w:kern w:val="0"/>
                <w:szCs w:val="21"/>
              </w:rPr>
            </w:pPr>
          </w:p>
        </w:tc>
        <w:tc>
          <w:tcPr>
            <w:tcW w:w="567" w:type="dxa"/>
            <w:vMerge w:val="continue"/>
            <w:vAlign w:val="center"/>
          </w:tcPr>
          <w:p>
            <w:pPr>
              <w:widowControl/>
              <w:jc w:val="center"/>
              <w:rPr>
                <w:rFonts w:ascii="黑体" w:hAnsi="黑体" w:eastAsia="黑体" w:cs="宋体"/>
                <w:b/>
                <w:color w:val="000000"/>
                <w:kern w:val="0"/>
                <w:szCs w:val="21"/>
              </w:rPr>
            </w:pPr>
          </w:p>
        </w:tc>
        <w:tc>
          <w:tcPr>
            <w:tcW w:w="741" w:type="dxa"/>
            <w:vMerge w:val="continue"/>
            <w:vAlign w:val="center"/>
          </w:tcPr>
          <w:p>
            <w:pPr>
              <w:widowControl/>
              <w:jc w:val="center"/>
              <w:rPr>
                <w:rFonts w:ascii="黑体" w:hAnsi="黑体" w:eastAsia="黑体" w:cs="宋体"/>
                <w:b/>
                <w:color w:val="000000"/>
                <w:kern w:val="0"/>
                <w:szCs w:val="21"/>
              </w:rPr>
            </w:pPr>
          </w:p>
        </w:tc>
        <w:tc>
          <w:tcPr>
            <w:tcW w:w="498" w:type="dxa"/>
            <w:vMerge w:val="continue"/>
            <w:vAlign w:val="center"/>
          </w:tcPr>
          <w:p>
            <w:pPr>
              <w:widowControl/>
              <w:jc w:val="center"/>
              <w:rPr>
                <w:rFonts w:ascii="黑体" w:hAnsi="黑体" w:eastAsia="黑体" w:cs="宋体"/>
                <w:b/>
                <w:color w:val="000000"/>
                <w:kern w:val="0"/>
                <w:szCs w:val="21"/>
              </w:rPr>
            </w:pPr>
          </w:p>
        </w:tc>
        <w:tc>
          <w:tcPr>
            <w:tcW w:w="980"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总计</w:t>
            </w:r>
          </w:p>
        </w:tc>
        <w:tc>
          <w:tcPr>
            <w:tcW w:w="3921" w:type="dxa"/>
            <w:gridSpan w:val="4"/>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资金来源</w:t>
            </w:r>
          </w:p>
        </w:tc>
      </w:tr>
      <w:tr>
        <w:trPr>
          <w:cantSplit/>
          <w:trHeight w:val="373" w:hRule="atLeast"/>
          <w:tblHeader/>
          <w:jc w:val="center"/>
        </w:trPr>
        <w:tc>
          <w:tcPr>
            <w:tcW w:w="1647" w:type="dxa"/>
            <w:vMerge w:val="continue"/>
            <w:vAlign w:val="center"/>
          </w:tcPr>
          <w:p>
            <w:pPr>
              <w:widowControl/>
              <w:jc w:val="center"/>
              <w:rPr>
                <w:rFonts w:ascii="黑体" w:hAnsi="黑体" w:eastAsia="黑体" w:cs="宋体"/>
                <w:b/>
                <w:color w:val="000000"/>
                <w:kern w:val="0"/>
                <w:szCs w:val="21"/>
              </w:rPr>
            </w:pPr>
          </w:p>
        </w:tc>
        <w:tc>
          <w:tcPr>
            <w:tcW w:w="992" w:type="dxa"/>
            <w:vMerge w:val="continue"/>
            <w:vAlign w:val="center"/>
          </w:tcPr>
          <w:p>
            <w:pPr>
              <w:widowControl/>
              <w:jc w:val="center"/>
              <w:rPr>
                <w:rFonts w:ascii="黑体" w:hAnsi="黑体" w:eastAsia="黑体" w:cs="宋体"/>
                <w:b/>
                <w:color w:val="000000"/>
                <w:kern w:val="0"/>
                <w:szCs w:val="21"/>
              </w:rPr>
            </w:pPr>
          </w:p>
        </w:tc>
        <w:tc>
          <w:tcPr>
            <w:tcW w:w="1701" w:type="dxa"/>
            <w:vMerge w:val="continue"/>
            <w:vAlign w:val="center"/>
          </w:tcPr>
          <w:p>
            <w:pPr>
              <w:widowControl/>
              <w:jc w:val="center"/>
              <w:rPr>
                <w:rFonts w:ascii="黑体" w:hAnsi="黑体" w:eastAsia="黑体" w:cs="宋体"/>
                <w:b/>
                <w:color w:val="000000"/>
                <w:kern w:val="0"/>
                <w:szCs w:val="21"/>
              </w:rPr>
            </w:pPr>
          </w:p>
        </w:tc>
        <w:tc>
          <w:tcPr>
            <w:tcW w:w="710" w:type="dxa"/>
            <w:vMerge w:val="continue"/>
            <w:vAlign w:val="center"/>
          </w:tcPr>
          <w:p>
            <w:pPr>
              <w:widowControl/>
              <w:jc w:val="center"/>
              <w:rPr>
                <w:rFonts w:ascii="黑体" w:hAnsi="黑体" w:eastAsia="黑体" w:cs="宋体"/>
                <w:b/>
                <w:color w:val="000000"/>
                <w:kern w:val="0"/>
                <w:szCs w:val="21"/>
              </w:rPr>
            </w:pPr>
          </w:p>
        </w:tc>
        <w:tc>
          <w:tcPr>
            <w:tcW w:w="1371" w:type="dxa"/>
            <w:vMerge w:val="continue"/>
            <w:vAlign w:val="center"/>
          </w:tcPr>
          <w:p>
            <w:pPr>
              <w:widowControl/>
              <w:jc w:val="center"/>
              <w:rPr>
                <w:rFonts w:ascii="黑体" w:hAnsi="黑体" w:eastAsia="黑体" w:cs="宋体"/>
                <w:b/>
                <w:color w:val="000000"/>
                <w:kern w:val="0"/>
                <w:szCs w:val="21"/>
              </w:rPr>
            </w:pPr>
          </w:p>
        </w:tc>
        <w:tc>
          <w:tcPr>
            <w:tcW w:w="1276" w:type="dxa"/>
            <w:vMerge w:val="continue"/>
            <w:vAlign w:val="center"/>
          </w:tcPr>
          <w:p>
            <w:pPr>
              <w:widowControl/>
              <w:jc w:val="center"/>
              <w:rPr>
                <w:rFonts w:ascii="黑体" w:hAnsi="黑体" w:eastAsia="黑体" w:cs="宋体"/>
                <w:b/>
                <w:color w:val="000000"/>
                <w:kern w:val="0"/>
                <w:szCs w:val="21"/>
              </w:rPr>
            </w:pPr>
          </w:p>
        </w:tc>
        <w:tc>
          <w:tcPr>
            <w:tcW w:w="850" w:type="dxa"/>
            <w:vMerge w:val="continue"/>
            <w:vAlign w:val="center"/>
          </w:tcPr>
          <w:p>
            <w:pPr>
              <w:widowControl/>
              <w:jc w:val="center"/>
              <w:rPr>
                <w:rFonts w:ascii="黑体" w:hAnsi="黑体" w:eastAsia="黑体" w:cs="宋体"/>
                <w:b/>
                <w:color w:val="000000"/>
                <w:kern w:val="0"/>
                <w:szCs w:val="21"/>
              </w:rPr>
            </w:pPr>
          </w:p>
        </w:tc>
        <w:tc>
          <w:tcPr>
            <w:tcW w:w="567" w:type="dxa"/>
            <w:vMerge w:val="continue"/>
            <w:vAlign w:val="center"/>
          </w:tcPr>
          <w:p>
            <w:pPr>
              <w:widowControl/>
              <w:jc w:val="center"/>
              <w:rPr>
                <w:rFonts w:ascii="黑体" w:hAnsi="黑体" w:eastAsia="黑体" w:cs="宋体"/>
                <w:b/>
                <w:color w:val="000000"/>
                <w:kern w:val="0"/>
                <w:szCs w:val="21"/>
              </w:rPr>
            </w:pPr>
          </w:p>
        </w:tc>
        <w:tc>
          <w:tcPr>
            <w:tcW w:w="741" w:type="dxa"/>
            <w:vMerge w:val="continue"/>
            <w:vAlign w:val="center"/>
          </w:tcPr>
          <w:p>
            <w:pPr>
              <w:widowControl/>
              <w:jc w:val="center"/>
              <w:rPr>
                <w:rFonts w:ascii="黑体" w:hAnsi="黑体" w:eastAsia="黑体" w:cs="宋体"/>
                <w:b/>
                <w:color w:val="000000"/>
                <w:kern w:val="0"/>
                <w:szCs w:val="21"/>
              </w:rPr>
            </w:pPr>
          </w:p>
        </w:tc>
        <w:tc>
          <w:tcPr>
            <w:tcW w:w="498" w:type="dxa"/>
            <w:vMerge w:val="continue"/>
            <w:vAlign w:val="center"/>
          </w:tcPr>
          <w:p>
            <w:pPr>
              <w:widowControl/>
              <w:jc w:val="center"/>
              <w:rPr>
                <w:rFonts w:ascii="黑体" w:hAnsi="黑体" w:eastAsia="黑体" w:cs="宋体"/>
                <w:b/>
                <w:color w:val="000000"/>
                <w:kern w:val="0"/>
                <w:szCs w:val="21"/>
              </w:rPr>
            </w:pPr>
          </w:p>
        </w:tc>
        <w:tc>
          <w:tcPr>
            <w:tcW w:w="980" w:type="dxa"/>
            <w:vMerge w:val="continue"/>
            <w:vAlign w:val="center"/>
          </w:tcPr>
          <w:p>
            <w:pPr>
              <w:widowControl/>
              <w:jc w:val="center"/>
              <w:rPr>
                <w:rFonts w:ascii="黑体" w:hAnsi="黑体" w:eastAsia="黑体" w:cs="宋体"/>
                <w:b/>
                <w:color w:val="000000"/>
                <w:kern w:val="0"/>
                <w:szCs w:val="21"/>
              </w:rPr>
            </w:pPr>
          </w:p>
        </w:tc>
        <w:tc>
          <w:tcPr>
            <w:tcW w:w="980"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一般公共预算拨款安排</w:t>
            </w:r>
          </w:p>
        </w:tc>
        <w:tc>
          <w:tcPr>
            <w:tcW w:w="980"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政府性基金预算拨款安排</w:t>
            </w:r>
          </w:p>
        </w:tc>
        <w:tc>
          <w:tcPr>
            <w:tcW w:w="980"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98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bCs/>
                <w:color w:val="000000"/>
                <w:kern w:val="0"/>
                <w:szCs w:val="21"/>
              </w:rPr>
              <w:t>其他来源收入安排</w:t>
            </w:r>
          </w:p>
        </w:tc>
      </w:tr>
      <w:tr>
        <w:trPr>
          <w:cantSplit/>
          <w:trHeight w:val="373" w:hRule="atLeast"/>
          <w:tblHeader/>
          <w:jc w:val="center"/>
        </w:trPr>
        <w:tc>
          <w:tcPr>
            <w:tcW w:w="1647" w:type="dxa"/>
            <w:vMerge w:val="continue"/>
            <w:vAlign w:val="center"/>
          </w:tcPr>
          <w:p>
            <w:pPr>
              <w:widowControl/>
              <w:jc w:val="center"/>
              <w:rPr>
                <w:rFonts w:ascii="宋体" w:hAnsi="宋体" w:cs="宋体"/>
                <w:color w:val="000000"/>
                <w:kern w:val="0"/>
                <w:sz w:val="22"/>
              </w:rPr>
            </w:pPr>
          </w:p>
        </w:tc>
        <w:tc>
          <w:tcPr>
            <w:tcW w:w="992" w:type="dxa"/>
            <w:vMerge w:val="continue"/>
            <w:vAlign w:val="center"/>
          </w:tcPr>
          <w:p>
            <w:pPr>
              <w:widowControl/>
              <w:jc w:val="center"/>
              <w:rPr>
                <w:rFonts w:ascii="宋体" w:hAnsi="宋体" w:cs="宋体"/>
                <w:color w:val="000000"/>
                <w:kern w:val="0"/>
                <w:sz w:val="22"/>
              </w:rPr>
            </w:pPr>
          </w:p>
        </w:tc>
        <w:tc>
          <w:tcPr>
            <w:tcW w:w="1701" w:type="dxa"/>
            <w:vMerge w:val="continue"/>
            <w:vAlign w:val="center"/>
          </w:tcPr>
          <w:p>
            <w:pPr>
              <w:widowControl/>
              <w:jc w:val="center"/>
              <w:rPr>
                <w:rFonts w:ascii="宋体" w:hAnsi="宋体" w:cs="宋体"/>
                <w:color w:val="000000"/>
                <w:kern w:val="0"/>
                <w:sz w:val="22"/>
              </w:rPr>
            </w:pPr>
          </w:p>
        </w:tc>
        <w:tc>
          <w:tcPr>
            <w:tcW w:w="710" w:type="dxa"/>
            <w:vMerge w:val="continue"/>
            <w:vAlign w:val="center"/>
          </w:tcPr>
          <w:p>
            <w:pPr>
              <w:widowControl/>
              <w:jc w:val="center"/>
              <w:rPr>
                <w:rFonts w:ascii="宋体" w:hAnsi="宋体" w:cs="宋体"/>
                <w:color w:val="000000"/>
                <w:kern w:val="0"/>
                <w:sz w:val="22"/>
              </w:rPr>
            </w:pPr>
          </w:p>
        </w:tc>
        <w:tc>
          <w:tcPr>
            <w:tcW w:w="1371" w:type="dxa"/>
            <w:vMerge w:val="continue"/>
            <w:vAlign w:val="center"/>
          </w:tcPr>
          <w:p>
            <w:pPr>
              <w:widowControl/>
              <w:jc w:val="center"/>
              <w:rPr>
                <w:rFonts w:ascii="宋体" w:hAnsi="宋体" w:cs="宋体"/>
                <w:color w:val="000000"/>
                <w:kern w:val="0"/>
                <w:sz w:val="22"/>
              </w:rPr>
            </w:pPr>
          </w:p>
        </w:tc>
        <w:tc>
          <w:tcPr>
            <w:tcW w:w="1276" w:type="dxa"/>
            <w:vMerge w:val="continue"/>
            <w:vAlign w:val="center"/>
          </w:tcPr>
          <w:p>
            <w:pPr>
              <w:widowControl/>
              <w:jc w:val="center"/>
              <w:rPr>
                <w:rFonts w:ascii="宋体" w:hAnsi="宋体" w:cs="宋体"/>
                <w:color w:val="000000"/>
                <w:kern w:val="0"/>
                <w:sz w:val="22"/>
              </w:rPr>
            </w:pPr>
          </w:p>
        </w:tc>
        <w:tc>
          <w:tcPr>
            <w:tcW w:w="850" w:type="dxa"/>
            <w:vMerge w:val="continue"/>
            <w:vAlign w:val="center"/>
          </w:tcPr>
          <w:p>
            <w:pPr>
              <w:widowControl/>
              <w:jc w:val="center"/>
              <w:rPr>
                <w:rFonts w:ascii="宋体" w:hAnsi="宋体" w:cs="宋体"/>
                <w:color w:val="000000"/>
                <w:kern w:val="0"/>
                <w:sz w:val="22"/>
              </w:rPr>
            </w:pPr>
          </w:p>
        </w:tc>
        <w:tc>
          <w:tcPr>
            <w:tcW w:w="567" w:type="dxa"/>
            <w:vMerge w:val="continue"/>
            <w:vAlign w:val="center"/>
          </w:tcPr>
          <w:p>
            <w:pPr>
              <w:widowControl/>
              <w:jc w:val="center"/>
              <w:rPr>
                <w:rFonts w:ascii="宋体" w:hAnsi="宋体" w:cs="宋体"/>
                <w:color w:val="000000"/>
                <w:kern w:val="0"/>
                <w:sz w:val="22"/>
              </w:rPr>
            </w:pPr>
          </w:p>
        </w:tc>
        <w:tc>
          <w:tcPr>
            <w:tcW w:w="741" w:type="dxa"/>
            <w:vMerge w:val="continue"/>
            <w:vAlign w:val="center"/>
          </w:tcPr>
          <w:p>
            <w:pPr>
              <w:widowControl/>
              <w:jc w:val="center"/>
              <w:rPr>
                <w:rFonts w:ascii="宋体" w:hAnsi="宋体" w:cs="宋体"/>
                <w:color w:val="000000"/>
                <w:kern w:val="0"/>
                <w:sz w:val="22"/>
              </w:rPr>
            </w:pPr>
          </w:p>
        </w:tc>
        <w:tc>
          <w:tcPr>
            <w:tcW w:w="498" w:type="dxa"/>
            <w:vMerge w:val="continue"/>
            <w:vAlign w:val="center"/>
          </w:tcPr>
          <w:p>
            <w:pPr>
              <w:widowControl/>
              <w:jc w:val="center"/>
              <w:rPr>
                <w:rFonts w:ascii="宋体" w:hAnsi="宋体" w:cs="宋体"/>
                <w:color w:val="000000"/>
                <w:kern w:val="0"/>
                <w:sz w:val="22"/>
              </w:rPr>
            </w:pPr>
          </w:p>
        </w:tc>
        <w:tc>
          <w:tcPr>
            <w:tcW w:w="980" w:type="dxa"/>
            <w:vMerge w:val="continue"/>
            <w:vAlign w:val="center"/>
          </w:tcPr>
          <w:p>
            <w:pPr>
              <w:widowControl/>
              <w:jc w:val="center"/>
              <w:rPr>
                <w:rFonts w:ascii="宋体" w:hAnsi="宋体" w:cs="宋体"/>
                <w:color w:val="000000"/>
                <w:kern w:val="0"/>
                <w:sz w:val="22"/>
              </w:rPr>
            </w:pPr>
          </w:p>
        </w:tc>
        <w:tc>
          <w:tcPr>
            <w:tcW w:w="980" w:type="dxa"/>
            <w:vMerge w:val="continue"/>
            <w:vAlign w:val="center"/>
          </w:tcPr>
          <w:p>
            <w:pPr>
              <w:widowControl/>
              <w:jc w:val="center"/>
              <w:rPr>
                <w:rFonts w:ascii="宋体" w:hAnsi="宋体" w:cs="宋体"/>
                <w:color w:val="000000"/>
                <w:kern w:val="0"/>
                <w:sz w:val="22"/>
              </w:rPr>
            </w:pPr>
          </w:p>
        </w:tc>
        <w:tc>
          <w:tcPr>
            <w:tcW w:w="980" w:type="dxa"/>
            <w:vMerge w:val="continue"/>
            <w:vAlign w:val="center"/>
          </w:tcPr>
          <w:p>
            <w:pPr>
              <w:widowControl/>
              <w:jc w:val="center"/>
              <w:rPr>
                <w:rFonts w:ascii="宋体" w:hAnsi="宋体" w:cs="宋体"/>
                <w:color w:val="000000"/>
                <w:kern w:val="0"/>
                <w:sz w:val="22"/>
              </w:rPr>
            </w:pPr>
          </w:p>
        </w:tc>
        <w:tc>
          <w:tcPr>
            <w:tcW w:w="980" w:type="dxa"/>
            <w:vMerge w:val="continue"/>
            <w:vAlign w:val="center"/>
          </w:tcPr>
          <w:p>
            <w:pPr>
              <w:widowControl/>
              <w:jc w:val="center"/>
              <w:rPr>
                <w:rFonts w:ascii="宋体" w:hAnsi="宋体" w:cs="宋体"/>
                <w:color w:val="000000"/>
                <w:kern w:val="0"/>
                <w:sz w:val="22"/>
              </w:rPr>
            </w:pPr>
          </w:p>
        </w:tc>
        <w:tc>
          <w:tcPr>
            <w:tcW w:w="981" w:type="dxa"/>
            <w:vMerge w:val="continue"/>
            <w:vAlign w:val="center"/>
          </w:tcPr>
          <w:p>
            <w:pPr>
              <w:widowControl/>
              <w:jc w:val="center"/>
              <w:rPr>
                <w:rFonts w:ascii="宋体" w:hAnsi="宋体" w:cs="宋体"/>
                <w:color w:val="000000"/>
                <w:kern w:val="0"/>
                <w:sz w:val="22"/>
              </w:rPr>
            </w:pPr>
          </w:p>
        </w:tc>
      </w:tr>
      <w:tr>
        <w:trPr>
          <w:cantSplit/>
          <w:trHeight w:val="312" w:hRule="atLeast"/>
          <w:tblHeader/>
          <w:jc w:val="center"/>
        </w:trPr>
        <w:tc>
          <w:tcPr>
            <w:tcW w:w="1647" w:type="dxa"/>
            <w:vMerge w:val="continue"/>
            <w:vAlign w:val="center"/>
          </w:tcPr>
          <w:p>
            <w:pPr>
              <w:widowControl/>
              <w:jc w:val="left"/>
              <w:rPr>
                <w:rFonts w:ascii="宋体" w:hAnsi="宋体" w:cs="宋体"/>
                <w:color w:val="000000"/>
                <w:kern w:val="0"/>
                <w:szCs w:val="21"/>
              </w:rPr>
            </w:pPr>
          </w:p>
        </w:tc>
        <w:tc>
          <w:tcPr>
            <w:tcW w:w="992"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710" w:type="dxa"/>
            <w:vMerge w:val="continue"/>
            <w:vAlign w:val="center"/>
          </w:tcPr>
          <w:p>
            <w:pPr>
              <w:widowControl/>
              <w:jc w:val="left"/>
              <w:rPr>
                <w:rFonts w:ascii="宋体" w:hAnsi="宋体" w:cs="宋体"/>
                <w:color w:val="000000"/>
                <w:kern w:val="0"/>
                <w:szCs w:val="21"/>
              </w:rPr>
            </w:pPr>
          </w:p>
        </w:tc>
        <w:tc>
          <w:tcPr>
            <w:tcW w:w="1371" w:type="dxa"/>
            <w:vMerge w:val="continue"/>
            <w:vAlign w:val="center"/>
          </w:tcPr>
          <w:p>
            <w:pPr>
              <w:widowControl/>
              <w:jc w:val="left"/>
              <w:rPr>
                <w:rFonts w:ascii="宋体" w:hAnsi="宋体" w:cs="宋体"/>
                <w:color w:val="000000"/>
                <w:kern w:val="0"/>
                <w:szCs w:val="21"/>
              </w:rPr>
            </w:pPr>
          </w:p>
        </w:tc>
        <w:tc>
          <w:tcPr>
            <w:tcW w:w="1276" w:type="dxa"/>
            <w:vMerge w:val="continue"/>
            <w:vAlign w:val="center"/>
          </w:tcPr>
          <w:p>
            <w:pPr>
              <w:widowControl/>
              <w:jc w:val="left"/>
              <w:rPr>
                <w:rFonts w:ascii="宋体" w:hAnsi="宋体" w:cs="宋体"/>
                <w:color w:val="000000"/>
                <w:kern w:val="0"/>
                <w:szCs w:val="21"/>
              </w:rPr>
            </w:pPr>
          </w:p>
        </w:tc>
        <w:tc>
          <w:tcPr>
            <w:tcW w:w="850" w:type="dxa"/>
            <w:vMerge w:val="continue"/>
            <w:vAlign w:val="center"/>
          </w:tcPr>
          <w:p>
            <w:pPr>
              <w:widowControl/>
              <w:jc w:val="left"/>
              <w:rPr>
                <w:rFonts w:ascii="宋体" w:hAnsi="宋体" w:cs="宋体"/>
                <w:color w:val="000000"/>
                <w:kern w:val="0"/>
                <w:szCs w:val="21"/>
              </w:rPr>
            </w:pPr>
          </w:p>
        </w:tc>
        <w:tc>
          <w:tcPr>
            <w:tcW w:w="567" w:type="dxa"/>
            <w:vMerge w:val="continue"/>
            <w:vAlign w:val="center"/>
          </w:tcPr>
          <w:p>
            <w:pPr>
              <w:widowControl/>
              <w:jc w:val="left"/>
              <w:rPr>
                <w:rFonts w:ascii="宋体" w:hAnsi="宋体" w:cs="宋体"/>
                <w:color w:val="000000"/>
                <w:kern w:val="0"/>
                <w:szCs w:val="21"/>
              </w:rPr>
            </w:pPr>
          </w:p>
        </w:tc>
        <w:tc>
          <w:tcPr>
            <w:tcW w:w="741" w:type="dxa"/>
            <w:vMerge w:val="continue"/>
            <w:vAlign w:val="center"/>
          </w:tcPr>
          <w:p>
            <w:pPr>
              <w:widowControl/>
              <w:jc w:val="right"/>
              <w:rPr>
                <w:rFonts w:ascii="宋体" w:hAnsi="宋体" w:cs="宋体"/>
                <w:color w:val="000000"/>
                <w:kern w:val="0"/>
                <w:szCs w:val="21"/>
              </w:rPr>
            </w:pPr>
          </w:p>
        </w:tc>
        <w:tc>
          <w:tcPr>
            <w:tcW w:w="498" w:type="dxa"/>
            <w:vMerge w:val="continue"/>
            <w:vAlign w:val="center"/>
          </w:tcPr>
          <w:p>
            <w:pPr>
              <w:widowControl/>
              <w:jc w:val="right"/>
              <w:rPr>
                <w:rFonts w:ascii="宋体" w:hAnsi="宋体" w:cs="宋体"/>
                <w:color w:val="000000"/>
                <w:kern w:val="0"/>
                <w:szCs w:val="21"/>
              </w:rPr>
            </w:pPr>
          </w:p>
        </w:tc>
        <w:tc>
          <w:tcPr>
            <w:tcW w:w="980" w:type="dxa"/>
            <w:vMerge w:val="continue"/>
            <w:vAlign w:val="center"/>
          </w:tcPr>
          <w:p>
            <w:pPr>
              <w:widowControl/>
              <w:jc w:val="right"/>
              <w:rPr>
                <w:rFonts w:ascii="宋体" w:hAnsi="宋体" w:cs="宋体"/>
                <w:color w:val="000000"/>
                <w:kern w:val="0"/>
                <w:szCs w:val="21"/>
              </w:rPr>
            </w:pPr>
          </w:p>
        </w:tc>
        <w:tc>
          <w:tcPr>
            <w:tcW w:w="980" w:type="dxa"/>
            <w:vMerge w:val="continue"/>
            <w:vAlign w:val="center"/>
          </w:tcPr>
          <w:p>
            <w:pPr>
              <w:widowControl/>
              <w:jc w:val="right"/>
              <w:rPr>
                <w:rFonts w:ascii="宋体" w:hAnsi="宋体" w:cs="宋体"/>
                <w:color w:val="000000"/>
                <w:kern w:val="0"/>
                <w:szCs w:val="21"/>
              </w:rPr>
            </w:pPr>
          </w:p>
        </w:tc>
        <w:tc>
          <w:tcPr>
            <w:tcW w:w="980" w:type="dxa"/>
            <w:vMerge w:val="continue"/>
            <w:vAlign w:val="center"/>
          </w:tcPr>
          <w:p>
            <w:pPr>
              <w:widowControl/>
              <w:jc w:val="right"/>
              <w:rPr>
                <w:rFonts w:ascii="宋体" w:hAnsi="宋体" w:cs="宋体"/>
                <w:color w:val="000000"/>
                <w:kern w:val="0"/>
                <w:szCs w:val="21"/>
              </w:rPr>
            </w:pPr>
          </w:p>
        </w:tc>
        <w:tc>
          <w:tcPr>
            <w:tcW w:w="980" w:type="dxa"/>
            <w:vMerge w:val="continue"/>
            <w:vAlign w:val="center"/>
          </w:tcPr>
          <w:p>
            <w:pPr>
              <w:widowControl/>
              <w:jc w:val="right"/>
              <w:rPr>
                <w:rFonts w:ascii="宋体" w:hAnsi="宋体" w:cs="宋体"/>
                <w:color w:val="000000"/>
                <w:kern w:val="0"/>
                <w:szCs w:val="21"/>
              </w:rPr>
            </w:pPr>
          </w:p>
        </w:tc>
        <w:tc>
          <w:tcPr>
            <w:tcW w:w="981" w:type="dxa"/>
            <w:vMerge w:val="continue"/>
            <w:vAlign w:val="center"/>
          </w:tcPr>
          <w:p>
            <w:pPr>
              <w:widowControl/>
              <w:jc w:val="right"/>
              <w:rPr>
                <w:rFonts w:ascii="宋体" w:hAnsi="宋体" w:cs="宋体"/>
                <w:color w:val="000000"/>
                <w:kern w:val="0"/>
                <w:szCs w:val="21"/>
              </w:rPr>
            </w:pPr>
          </w:p>
        </w:tc>
      </w:tr>
      <w:tr>
        <w:trPr>
          <w:cantSplit/>
          <w:trHeight w:val="312" w:hRule="atLeast"/>
          <w:jc w:val="center"/>
        </w:trPr>
        <w:tc>
          <w:tcPr>
            <w:tcW w:w="1647" w:type="dxa"/>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合计</w:t>
            </w:r>
          </w:p>
        </w:tc>
        <w:tc>
          <w:tcPr>
            <w:tcW w:w="992" w:type="dxa"/>
            <w:vAlign w:val="center"/>
          </w:tcPr>
          <w:p>
            <w:pPr>
              <w:widowControl/>
              <w:jc w:val="left"/>
              <w:rPr>
                <w:rFonts w:ascii="宋体" w:hAnsi="宋体" w:cs="宋体"/>
                <w:color w:val="000000"/>
                <w:kern w:val="0"/>
                <w:szCs w:val="21"/>
              </w:rPr>
            </w:pPr>
          </w:p>
        </w:tc>
        <w:tc>
          <w:tcPr>
            <w:tcW w:w="1701" w:type="dxa"/>
            <w:vAlign w:val="center"/>
          </w:tcPr>
          <w:p>
            <w:pPr>
              <w:widowControl/>
              <w:jc w:val="left"/>
              <w:rPr>
                <w:rFonts w:ascii="宋体" w:hAnsi="宋体" w:cs="宋体"/>
                <w:color w:val="000000"/>
                <w:kern w:val="0"/>
                <w:szCs w:val="21"/>
              </w:rPr>
            </w:pPr>
          </w:p>
        </w:tc>
        <w:tc>
          <w:tcPr>
            <w:tcW w:w="710" w:type="dxa"/>
            <w:vAlign w:val="center"/>
          </w:tcPr>
          <w:p>
            <w:pPr>
              <w:widowControl/>
              <w:jc w:val="left"/>
              <w:rPr>
                <w:rFonts w:ascii="宋体" w:hAnsi="宋体" w:cs="宋体"/>
                <w:color w:val="000000"/>
                <w:kern w:val="0"/>
                <w:szCs w:val="21"/>
              </w:rPr>
            </w:pPr>
          </w:p>
        </w:tc>
        <w:tc>
          <w:tcPr>
            <w:tcW w:w="1371" w:type="dxa"/>
            <w:vAlign w:val="center"/>
          </w:tcPr>
          <w:p>
            <w:pPr>
              <w:widowControl/>
              <w:jc w:val="left"/>
              <w:rPr>
                <w:rFonts w:ascii="宋体" w:hAnsi="宋体" w:cs="宋体"/>
                <w:color w:val="000000"/>
                <w:kern w:val="0"/>
                <w:szCs w:val="21"/>
              </w:rPr>
            </w:pPr>
          </w:p>
        </w:tc>
        <w:tc>
          <w:tcPr>
            <w:tcW w:w="1276" w:type="dxa"/>
            <w:vAlign w:val="center"/>
          </w:tcPr>
          <w:p>
            <w:pPr>
              <w:widowControl/>
              <w:jc w:val="left"/>
              <w:rPr>
                <w:rFonts w:ascii="宋体" w:hAnsi="宋体" w:cs="宋体"/>
                <w:color w:val="000000"/>
                <w:kern w:val="0"/>
                <w:szCs w:val="21"/>
              </w:rPr>
            </w:pPr>
          </w:p>
        </w:tc>
        <w:tc>
          <w:tcPr>
            <w:tcW w:w="850" w:type="dxa"/>
            <w:vAlign w:val="center"/>
          </w:tcPr>
          <w:p>
            <w:pPr>
              <w:widowControl/>
              <w:jc w:val="left"/>
              <w:rPr>
                <w:rFonts w:ascii="宋体" w:hAnsi="宋体" w:cs="宋体"/>
                <w:color w:val="000000"/>
                <w:kern w:val="0"/>
                <w:szCs w:val="21"/>
              </w:rPr>
            </w:pPr>
          </w:p>
        </w:tc>
        <w:tc>
          <w:tcPr>
            <w:tcW w:w="567" w:type="dxa"/>
            <w:vAlign w:val="center"/>
          </w:tcPr>
          <w:p>
            <w:pPr>
              <w:widowControl/>
              <w:jc w:val="left"/>
              <w:rPr>
                <w:rFonts w:ascii="宋体" w:hAnsi="宋体" w:cs="宋体"/>
                <w:color w:val="000000"/>
                <w:kern w:val="0"/>
                <w:szCs w:val="21"/>
              </w:rPr>
            </w:pPr>
          </w:p>
        </w:tc>
        <w:tc>
          <w:tcPr>
            <w:tcW w:w="741" w:type="dxa"/>
            <w:vAlign w:val="center"/>
          </w:tcPr>
          <w:p>
            <w:pPr>
              <w:widowControl/>
              <w:jc w:val="right"/>
              <w:rPr>
                <w:rFonts w:ascii="宋体" w:hAnsi="宋体" w:cs="宋体"/>
                <w:color w:val="000000"/>
                <w:kern w:val="0"/>
                <w:szCs w:val="21"/>
              </w:rPr>
            </w:pPr>
          </w:p>
        </w:tc>
        <w:tc>
          <w:tcPr>
            <w:tcW w:w="498" w:type="dxa"/>
            <w:vAlign w:val="center"/>
          </w:tcPr>
          <w:p>
            <w:pPr>
              <w:widowControl/>
              <w:jc w:val="right"/>
              <w:rPr>
                <w:rFonts w:ascii="宋体" w:hAnsi="宋体" w:cs="宋体"/>
                <w:color w:val="000000"/>
                <w:kern w:val="0"/>
                <w:szCs w:val="21"/>
              </w:rPr>
            </w:pP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17.82</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17.82</w:t>
            </w:r>
          </w:p>
        </w:tc>
        <w:tc>
          <w:tcPr>
            <w:tcW w:w="980" w:type="dxa"/>
            <w:vAlign w:val="center"/>
          </w:tcPr>
          <w:p>
            <w:pPr>
              <w:widowControl/>
              <w:jc w:val="right"/>
              <w:rPr>
                <w:rFonts w:ascii="宋体" w:hAnsi="宋体" w:cs="宋体"/>
                <w:color w:val="000000"/>
                <w:kern w:val="0"/>
                <w:szCs w:val="21"/>
              </w:rPr>
            </w:pPr>
          </w:p>
        </w:tc>
        <w:tc>
          <w:tcPr>
            <w:tcW w:w="980" w:type="dxa"/>
            <w:vAlign w:val="center"/>
          </w:tcPr>
          <w:p>
            <w:pPr>
              <w:widowControl/>
              <w:jc w:val="right"/>
              <w:rPr>
                <w:rFonts w:ascii="宋体" w:hAnsi="宋体" w:cs="宋体"/>
                <w:color w:val="000000"/>
                <w:kern w:val="0"/>
                <w:szCs w:val="21"/>
              </w:rPr>
            </w:pPr>
          </w:p>
        </w:tc>
        <w:tc>
          <w:tcPr>
            <w:tcW w:w="981" w:type="dxa"/>
            <w:vAlign w:val="center"/>
          </w:tcPr>
          <w:p>
            <w:pPr>
              <w:widowControl/>
              <w:jc w:val="right"/>
              <w:rPr>
                <w:rFonts w:ascii="宋体" w:hAnsi="宋体" w:cs="宋体"/>
                <w:color w:val="000000"/>
                <w:kern w:val="0"/>
                <w:szCs w:val="21"/>
              </w:rPr>
            </w:pPr>
          </w:p>
        </w:tc>
      </w:tr>
      <w:tr>
        <w:trPr>
          <w:cantSplit/>
          <w:trHeight w:val="312" w:hRule="atLeast"/>
          <w:jc w:val="center"/>
        </w:trPr>
        <w:tc>
          <w:tcPr>
            <w:tcW w:w="164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992"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2010507</w:t>
            </w:r>
          </w:p>
        </w:tc>
        <w:tc>
          <w:tcPr>
            <w:tcW w:w="17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71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专项项目</w:t>
            </w:r>
          </w:p>
        </w:tc>
        <w:tc>
          <w:tcPr>
            <w:tcW w:w="1371" w:type="dxa"/>
            <w:vAlign w:val="center"/>
          </w:tcPr>
          <w:p>
            <w:pPr>
              <w:widowControl/>
              <w:jc w:val="left"/>
              <w:rPr>
                <w:rFonts w:ascii="宋体" w:hAnsi="宋体" w:cs="宋体"/>
                <w:color w:val="000000"/>
                <w:kern w:val="0"/>
                <w:szCs w:val="21"/>
              </w:rPr>
            </w:pPr>
            <w:r>
              <w:rPr>
                <w:rFonts w:ascii="宋体" w:hAnsi="宋体" w:cs="宋体"/>
                <w:color w:val="000000"/>
                <w:kern w:val="0"/>
                <w:szCs w:val="21"/>
              </w:rPr>
              <w:t>A02052305</w:t>
            </w:r>
          </w:p>
        </w:tc>
        <w:tc>
          <w:tcPr>
            <w:tcW w:w="1276"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空调机组</w:t>
            </w:r>
          </w:p>
        </w:tc>
        <w:tc>
          <w:tcPr>
            <w:tcW w:w="85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格力</w:t>
            </w:r>
          </w:p>
        </w:tc>
        <w:tc>
          <w:tcPr>
            <w:tcW w:w="56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c>
          <w:tcPr>
            <w:tcW w:w="741" w:type="dxa"/>
            <w:vAlign w:val="center"/>
          </w:tcPr>
          <w:p>
            <w:pPr>
              <w:widowControl/>
              <w:jc w:val="right"/>
              <w:rPr>
                <w:rFonts w:ascii="宋体" w:hAnsi="宋体" w:cs="宋体"/>
                <w:color w:val="000000"/>
                <w:kern w:val="0"/>
                <w:szCs w:val="21"/>
              </w:rPr>
            </w:pPr>
            <w:r>
              <w:rPr>
                <w:rFonts w:ascii="宋体" w:hAnsi="宋体" w:cs="宋体"/>
                <w:color w:val="000000"/>
                <w:kern w:val="0"/>
                <w:szCs w:val="21"/>
              </w:rPr>
              <w:t>2800</w:t>
            </w:r>
          </w:p>
        </w:tc>
        <w:tc>
          <w:tcPr>
            <w:tcW w:w="498" w:type="dxa"/>
            <w:vAlign w:val="center"/>
          </w:tcPr>
          <w:p>
            <w:pPr>
              <w:widowControl/>
              <w:jc w:val="right"/>
              <w:rPr>
                <w:rFonts w:ascii="宋体" w:hAnsi="宋体" w:cs="宋体"/>
                <w:color w:val="000000"/>
                <w:kern w:val="0"/>
                <w:szCs w:val="21"/>
              </w:rPr>
            </w:pPr>
            <w:r>
              <w:rPr>
                <w:rFonts w:ascii="宋体" w:hAnsi="宋体" w:cs="宋体"/>
                <w:color w:val="000000"/>
                <w:kern w:val="0"/>
                <w:szCs w:val="21"/>
              </w:rPr>
              <w:t>10</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2.80</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2.80</w:t>
            </w:r>
          </w:p>
        </w:tc>
        <w:tc>
          <w:tcPr>
            <w:tcW w:w="980" w:type="dxa"/>
            <w:vAlign w:val="center"/>
          </w:tcPr>
          <w:p>
            <w:pPr>
              <w:widowControl/>
              <w:jc w:val="right"/>
              <w:rPr>
                <w:rFonts w:ascii="宋体" w:hAnsi="宋体" w:cs="宋体"/>
                <w:color w:val="000000"/>
                <w:kern w:val="0"/>
                <w:szCs w:val="21"/>
              </w:rPr>
            </w:pPr>
          </w:p>
        </w:tc>
        <w:tc>
          <w:tcPr>
            <w:tcW w:w="980" w:type="dxa"/>
            <w:vAlign w:val="center"/>
          </w:tcPr>
          <w:p>
            <w:pPr>
              <w:widowControl/>
              <w:jc w:val="right"/>
              <w:rPr>
                <w:rFonts w:ascii="宋体" w:hAnsi="宋体" w:cs="宋体"/>
                <w:color w:val="000000"/>
                <w:kern w:val="0"/>
                <w:szCs w:val="21"/>
              </w:rPr>
            </w:pPr>
          </w:p>
        </w:tc>
        <w:tc>
          <w:tcPr>
            <w:tcW w:w="981" w:type="dxa"/>
            <w:vAlign w:val="center"/>
          </w:tcPr>
          <w:p>
            <w:pPr>
              <w:widowControl/>
              <w:jc w:val="right"/>
              <w:rPr>
                <w:rFonts w:ascii="宋体" w:hAnsi="宋体" w:cs="宋体"/>
                <w:color w:val="000000"/>
                <w:kern w:val="0"/>
                <w:szCs w:val="21"/>
              </w:rPr>
            </w:pPr>
          </w:p>
        </w:tc>
      </w:tr>
      <w:tr>
        <w:trPr>
          <w:cantSplit/>
          <w:trHeight w:val="312" w:hRule="atLeast"/>
          <w:jc w:val="center"/>
        </w:trPr>
        <w:tc>
          <w:tcPr>
            <w:tcW w:w="164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992"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2010507</w:t>
            </w:r>
          </w:p>
        </w:tc>
        <w:tc>
          <w:tcPr>
            <w:tcW w:w="17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71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专项项目</w:t>
            </w:r>
          </w:p>
        </w:tc>
        <w:tc>
          <w:tcPr>
            <w:tcW w:w="1371" w:type="dxa"/>
            <w:vAlign w:val="center"/>
          </w:tcPr>
          <w:p>
            <w:pPr>
              <w:widowControl/>
              <w:jc w:val="left"/>
              <w:rPr>
                <w:rFonts w:ascii="宋体" w:hAnsi="宋体" w:cs="宋体"/>
                <w:color w:val="000000"/>
                <w:kern w:val="0"/>
                <w:szCs w:val="21"/>
              </w:rPr>
            </w:pPr>
            <w:r>
              <w:rPr>
                <w:rFonts w:ascii="宋体" w:hAnsi="宋体" w:cs="宋体"/>
                <w:color w:val="000000"/>
                <w:kern w:val="0"/>
                <w:szCs w:val="21"/>
              </w:rPr>
              <w:t>A02010301</w:t>
            </w:r>
          </w:p>
        </w:tc>
        <w:tc>
          <w:tcPr>
            <w:tcW w:w="1276"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防火墙</w:t>
            </w:r>
          </w:p>
        </w:tc>
        <w:tc>
          <w:tcPr>
            <w:tcW w:w="85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深信服</w:t>
            </w:r>
          </w:p>
        </w:tc>
        <w:tc>
          <w:tcPr>
            <w:tcW w:w="56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c>
          <w:tcPr>
            <w:tcW w:w="741" w:type="dxa"/>
            <w:vAlign w:val="center"/>
          </w:tcPr>
          <w:p>
            <w:pPr>
              <w:widowControl/>
              <w:jc w:val="right"/>
              <w:rPr>
                <w:rFonts w:ascii="宋体" w:hAnsi="宋体" w:cs="宋体"/>
                <w:color w:val="000000"/>
                <w:kern w:val="0"/>
                <w:szCs w:val="21"/>
              </w:rPr>
            </w:pPr>
            <w:r>
              <w:rPr>
                <w:rFonts w:ascii="宋体" w:hAnsi="宋体" w:cs="宋体"/>
                <w:color w:val="000000"/>
                <w:kern w:val="0"/>
                <w:szCs w:val="21"/>
              </w:rPr>
              <w:t>50000</w:t>
            </w:r>
          </w:p>
        </w:tc>
        <w:tc>
          <w:tcPr>
            <w:tcW w:w="498" w:type="dxa"/>
            <w:vAlign w:val="center"/>
          </w:tcPr>
          <w:p>
            <w:pPr>
              <w:widowControl/>
              <w:jc w:val="right"/>
              <w:rPr>
                <w:rFonts w:ascii="宋体" w:hAnsi="宋体" w:cs="宋体"/>
                <w:color w:val="000000"/>
                <w:kern w:val="0"/>
                <w:szCs w:val="21"/>
              </w:rPr>
            </w:pPr>
            <w:r>
              <w:rPr>
                <w:rFonts w:ascii="宋体" w:hAnsi="宋体" w:cs="宋体"/>
                <w:color w:val="000000"/>
                <w:kern w:val="0"/>
                <w:szCs w:val="21"/>
              </w:rPr>
              <w:t>1</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980" w:type="dxa"/>
            <w:vAlign w:val="center"/>
          </w:tcPr>
          <w:p>
            <w:pPr>
              <w:widowControl/>
              <w:jc w:val="right"/>
              <w:rPr>
                <w:rFonts w:ascii="宋体" w:hAnsi="宋体" w:cs="宋体"/>
                <w:color w:val="000000"/>
                <w:kern w:val="0"/>
                <w:szCs w:val="21"/>
              </w:rPr>
            </w:pPr>
          </w:p>
        </w:tc>
        <w:tc>
          <w:tcPr>
            <w:tcW w:w="980" w:type="dxa"/>
            <w:vAlign w:val="center"/>
          </w:tcPr>
          <w:p>
            <w:pPr>
              <w:widowControl/>
              <w:jc w:val="right"/>
              <w:rPr>
                <w:rFonts w:ascii="宋体" w:hAnsi="宋体" w:cs="宋体"/>
                <w:color w:val="000000"/>
                <w:kern w:val="0"/>
                <w:szCs w:val="21"/>
              </w:rPr>
            </w:pPr>
          </w:p>
        </w:tc>
        <w:tc>
          <w:tcPr>
            <w:tcW w:w="981" w:type="dxa"/>
            <w:vAlign w:val="center"/>
          </w:tcPr>
          <w:p>
            <w:pPr>
              <w:widowControl/>
              <w:jc w:val="right"/>
              <w:rPr>
                <w:rFonts w:ascii="宋体" w:hAnsi="宋体" w:cs="宋体"/>
                <w:color w:val="000000"/>
                <w:kern w:val="0"/>
                <w:szCs w:val="21"/>
              </w:rPr>
            </w:pPr>
          </w:p>
        </w:tc>
      </w:tr>
      <w:tr>
        <w:trPr>
          <w:cantSplit/>
          <w:trHeight w:val="312" w:hRule="atLeast"/>
          <w:jc w:val="center"/>
        </w:trPr>
        <w:tc>
          <w:tcPr>
            <w:tcW w:w="164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992"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2010507</w:t>
            </w:r>
          </w:p>
        </w:tc>
        <w:tc>
          <w:tcPr>
            <w:tcW w:w="17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71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专项项目</w:t>
            </w:r>
          </w:p>
        </w:tc>
        <w:tc>
          <w:tcPr>
            <w:tcW w:w="1371" w:type="dxa"/>
            <w:vAlign w:val="center"/>
          </w:tcPr>
          <w:p>
            <w:pPr>
              <w:widowControl/>
              <w:jc w:val="left"/>
              <w:rPr>
                <w:rFonts w:ascii="宋体" w:hAnsi="宋体" w:cs="宋体"/>
                <w:color w:val="000000"/>
                <w:kern w:val="0"/>
                <w:szCs w:val="21"/>
              </w:rPr>
            </w:pPr>
            <w:r>
              <w:rPr>
                <w:rFonts w:ascii="宋体" w:hAnsi="宋体" w:cs="宋体"/>
                <w:color w:val="000000"/>
                <w:kern w:val="0"/>
                <w:szCs w:val="21"/>
              </w:rPr>
              <w:t>A02010104</w:t>
            </w:r>
          </w:p>
        </w:tc>
        <w:tc>
          <w:tcPr>
            <w:tcW w:w="1276"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台式计算机</w:t>
            </w:r>
          </w:p>
        </w:tc>
        <w:tc>
          <w:tcPr>
            <w:tcW w:w="85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联想</w:t>
            </w:r>
          </w:p>
        </w:tc>
        <w:tc>
          <w:tcPr>
            <w:tcW w:w="56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c>
          <w:tcPr>
            <w:tcW w:w="741" w:type="dxa"/>
            <w:vAlign w:val="center"/>
          </w:tcPr>
          <w:p>
            <w:pPr>
              <w:widowControl/>
              <w:jc w:val="right"/>
              <w:rPr>
                <w:rFonts w:ascii="宋体" w:hAnsi="宋体" w:cs="宋体"/>
                <w:color w:val="000000"/>
                <w:kern w:val="0"/>
                <w:szCs w:val="21"/>
              </w:rPr>
            </w:pPr>
            <w:r>
              <w:rPr>
                <w:rFonts w:ascii="宋体" w:hAnsi="宋体" w:cs="宋体"/>
                <w:color w:val="000000"/>
                <w:kern w:val="0"/>
                <w:szCs w:val="21"/>
              </w:rPr>
              <w:t>5000</w:t>
            </w:r>
          </w:p>
        </w:tc>
        <w:tc>
          <w:tcPr>
            <w:tcW w:w="498" w:type="dxa"/>
            <w:vAlign w:val="center"/>
          </w:tcPr>
          <w:p>
            <w:pPr>
              <w:widowControl/>
              <w:jc w:val="right"/>
              <w:rPr>
                <w:rFonts w:ascii="宋体" w:hAnsi="宋体" w:cs="宋体"/>
                <w:color w:val="000000"/>
                <w:kern w:val="0"/>
                <w:szCs w:val="21"/>
              </w:rPr>
            </w:pPr>
            <w:r>
              <w:rPr>
                <w:rFonts w:ascii="宋体" w:hAnsi="宋体" w:cs="宋体"/>
                <w:color w:val="000000"/>
                <w:kern w:val="0"/>
                <w:szCs w:val="21"/>
              </w:rPr>
              <w:t>18</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9.00</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9.00</w:t>
            </w:r>
          </w:p>
        </w:tc>
        <w:tc>
          <w:tcPr>
            <w:tcW w:w="980" w:type="dxa"/>
            <w:vAlign w:val="center"/>
          </w:tcPr>
          <w:p>
            <w:pPr>
              <w:widowControl/>
              <w:jc w:val="right"/>
              <w:rPr>
                <w:rFonts w:ascii="宋体" w:hAnsi="宋体" w:cs="宋体"/>
                <w:color w:val="000000"/>
                <w:kern w:val="0"/>
                <w:szCs w:val="21"/>
              </w:rPr>
            </w:pPr>
          </w:p>
        </w:tc>
        <w:tc>
          <w:tcPr>
            <w:tcW w:w="980" w:type="dxa"/>
            <w:vAlign w:val="center"/>
          </w:tcPr>
          <w:p>
            <w:pPr>
              <w:widowControl/>
              <w:jc w:val="right"/>
              <w:rPr>
                <w:rFonts w:ascii="宋体" w:hAnsi="宋体" w:cs="宋体"/>
                <w:color w:val="000000"/>
                <w:kern w:val="0"/>
                <w:szCs w:val="21"/>
              </w:rPr>
            </w:pPr>
          </w:p>
        </w:tc>
        <w:tc>
          <w:tcPr>
            <w:tcW w:w="981" w:type="dxa"/>
            <w:vAlign w:val="center"/>
          </w:tcPr>
          <w:p>
            <w:pPr>
              <w:widowControl/>
              <w:jc w:val="right"/>
              <w:rPr>
                <w:rFonts w:ascii="宋体" w:hAnsi="宋体" w:cs="宋体"/>
                <w:color w:val="000000"/>
                <w:kern w:val="0"/>
                <w:szCs w:val="21"/>
              </w:rPr>
            </w:pPr>
          </w:p>
        </w:tc>
      </w:tr>
      <w:tr>
        <w:trPr>
          <w:cantSplit/>
          <w:trHeight w:val="312" w:hRule="atLeast"/>
          <w:jc w:val="center"/>
        </w:trPr>
        <w:tc>
          <w:tcPr>
            <w:tcW w:w="164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992"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2010507</w:t>
            </w:r>
          </w:p>
        </w:tc>
        <w:tc>
          <w:tcPr>
            <w:tcW w:w="17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71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专项项目</w:t>
            </w:r>
          </w:p>
        </w:tc>
        <w:tc>
          <w:tcPr>
            <w:tcW w:w="1371" w:type="dxa"/>
            <w:vAlign w:val="center"/>
          </w:tcPr>
          <w:p>
            <w:pPr>
              <w:widowControl/>
              <w:jc w:val="left"/>
              <w:rPr>
                <w:rFonts w:ascii="宋体" w:hAnsi="宋体" w:cs="宋体"/>
                <w:color w:val="000000"/>
                <w:kern w:val="0"/>
                <w:szCs w:val="21"/>
              </w:rPr>
            </w:pPr>
            <w:r>
              <w:rPr>
                <w:rFonts w:ascii="宋体" w:hAnsi="宋体" w:cs="宋体"/>
                <w:color w:val="000000"/>
                <w:kern w:val="0"/>
                <w:szCs w:val="21"/>
              </w:rPr>
              <w:t>A0201060102</w:t>
            </w:r>
          </w:p>
        </w:tc>
        <w:tc>
          <w:tcPr>
            <w:tcW w:w="1276"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激光打印机</w:t>
            </w:r>
          </w:p>
        </w:tc>
        <w:tc>
          <w:tcPr>
            <w:tcW w:w="850"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惠普</w:t>
            </w:r>
          </w:p>
        </w:tc>
        <w:tc>
          <w:tcPr>
            <w:tcW w:w="567"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台</w:t>
            </w:r>
          </w:p>
        </w:tc>
        <w:tc>
          <w:tcPr>
            <w:tcW w:w="741" w:type="dxa"/>
            <w:vAlign w:val="center"/>
          </w:tcPr>
          <w:p>
            <w:pPr>
              <w:widowControl/>
              <w:jc w:val="right"/>
              <w:rPr>
                <w:rFonts w:ascii="宋体" w:hAnsi="宋体" w:cs="宋体"/>
                <w:color w:val="000000"/>
                <w:kern w:val="0"/>
                <w:szCs w:val="21"/>
              </w:rPr>
            </w:pPr>
            <w:r>
              <w:rPr>
                <w:rFonts w:ascii="宋体" w:hAnsi="宋体" w:cs="宋体"/>
                <w:color w:val="000000"/>
                <w:kern w:val="0"/>
                <w:szCs w:val="21"/>
              </w:rPr>
              <w:t>1700</w:t>
            </w:r>
          </w:p>
        </w:tc>
        <w:tc>
          <w:tcPr>
            <w:tcW w:w="498" w:type="dxa"/>
            <w:vAlign w:val="center"/>
          </w:tcPr>
          <w:p>
            <w:pPr>
              <w:widowControl/>
              <w:jc w:val="right"/>
              <w:rPr>
                <w:rFonts w:ascii="宋体" w:hAnsi="宋体" w:cs="宋体"/>
                <w:color w:val="000000"/>
                <w:kern w:val="0"/>
                <w:szCs w:val="21"/>
              </w:rPr>
            </w:pPr>
            <w:r>
              <w:rPr>
                <w:rFonts w:ascii="宋体" w:hAnsi="宋体" w:cs="宋体"/>
                <w:color w:val="000000"/>
                <w:kern w:val="0"/>
                <w:szCs w:val="21"/>
              </w:rPr>
              <w:t>6</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1.02</w:t>
            </w:r>
          </w:p>
        </w:tc>
        <w:tc>
          <w:tcPr>
            <w:tcW w:w="980" w:type="dxa"/>
            <w:vAlign w:val="center"/>
          </w:tcPr>
          <w:p>
            <w:pPr>
              <w:widowControl/>
              <w:jc w:val="right"/>
              <w:rPr>
                <w:rFonts w:ascii="宋体" w:hAnsi="宋体" w:cs="宋体"/>
                <w:color w:val="000000"/>
                <w:kern w:val="0"/>
                <w:szCs w:val="21"/>
              </w:rPr>
            </w:pPr>
            <w:r>
              <w:rPr>
                <w:rFonts w:ascii="宋体" w:hAnsi="宋体" w:cs="宋体"/>
                <w:color w:val="000000"/>
                <w:kern w:val="0"/>
                <w:szCs w:val="21"/>
              </w:rPr>
              <w:t>1.02</w:t>
            </w:r>
          </w:p>
        </w:tc>
        <w:tc>
          <w:tcPr>
            <w:tcW w:w="980" w:type="dxa"/>
            <w:vAlign w:val="center"/>
          </w:tcPr>
          <w:p>
            <w:pPr>
              <w:widowControl/>
              <w:jc w:val="right"/>
              <w:rPr>
                <w:rFonts w:ascii="宋体" w:hAnsi="宋体" w:cs="宋体"/>
                <w:color w:val="000000"/>
                <w:kern w:val="0"/>
                <w:szCs w:val="21"/>
              </w:rPr>
            </w:pPr>
          </w:p>
        </w:tc>
        <w:tc>
          <w:tcPr>
            <w:tcW w:w="980" w:type="dxa"/>
            <w:vAlign w:val="center"/>
          </w:tcPr>
          <w:p>
            <w:pPr>
              <w:widowControl/>
              <w:jc w:val="right"/>
              <w:rPr>
                <w:rFonts w:ascii="宋体" w:hAnsi="宋体" w:cs="宋体"/>
                <w:color w:val="000000"/>
                <w:kern w:val="0"/>
                <w:szCs w:val="21"/>
              </w:rPr>
            </w:pPr>
          </w:p>
        </w:tc>
        <w:tc>
          <w:tcPr>
            <w:tcW w:w="981" w:type="dxa"/>
            <w:vAlign w:val="center"/>
          </w:tcPr>
          <w:p>
            <w:pPr>
              <w:widowControl/>
              <w:jc w:val="right"/>
              <w:rPr>
                <w:rFonts w:ascii="宋体" w:hAnsi="宋体" w:cs="宋体"/>
                <w:color w:val="000000"/>
                <w:kern w:val="0"/>
                <w:szCs w:val="21"/>
              </w:rPr>
            </w:pPr>
          </w:p>
        </w:tc>
      </w:tr>
    </w:tbl>
    <w:p>
      <w:pPr>
        <w:spacing w:line="20" w:lineRule="exact"/>
        <w:jc w:val="left"/>
      </w:pPr>
    </w:p>
    <w:p>
      <w:pPr>
        <w:jc w:val="left"/>
        <w:sectPr>
          <w:headerReference r:id="rId16" w:type="default"/>
          <w:pgSz w:w="16838" w:h="11906" w:orient="landscape"/>
          <w:pgMar w:top="1800" w:right="1440" w:bottom="1800" w:left="1440" w:header="851" w:footer="992" w:gutter="0"/>
          <w:cols w:space="720" w:num="1"/>
          <w:docGrid w:type="lines" w:linePitch="312"/>
        </w:sectPr>
      </w:pPr>
    </w:p>
    <w:p>
      <w:pPr>
        <w:pStyle w:val="10"/>
      </w:pPr>
      <w:bookmarkStart w:id="9" w:name="_Toc355951230"/>
      <w:bookmarkStart w:id="10" w:name="_Toc476153809"/>
      <w:r>
        <w:rPr>
          <w:rFonts w:hint="eastAsia"/>
        </w:rPr>
        <w:t>部门组织政府非税收入预算明细表</w:t>
      </w:r>
      <w:bookmarkEnd w:id="9"/>
      <w:bookmarkEnd w:id="10"/>
      <w:r>
        <w:rPr>
          <w:rFonts w:hint="eastAsia"/>
          <w:sz w:val="24"/>
        </w:rPr>
        <w:t xml:space="preserve">   </w:t>
      </w:r>
    </w:p>
    <w:tbl>
      <w:tblPr>
        <w:tblW w:w="14538" w:type="dxa"/>
        <w:jc w:val="center"/>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8"/>
        <w:gridCol w:w="1425"/>
        <w:gridCol w:w="1275"/>
        <w:gridCol w:w="1701"/>
        <w:gridCol w:w="1136"/>
        <w:gridCol w:w="992"/>
        <w:gridCol w:w="1133"/>
        <w:gridCol w:w="1133"/>
        <w:gridCol w:w="216"/>
        <w:gridCol w:w="1061"/>
        <w:gridCol w:w="1176"/>
        <w:gridCol w:w="1061"/>
        <w:gridCol w:w="1061"/>
        <w:gridCol w:w="966"/>
        <w:gridCol w:w="124"/>
      </w:tblGrid>
      <w:tr>
        <w:trPr>
          <w:gridBefore w:val="1"/>
          <w:wBefore w:w="78" w:type="dxa"/>
          <w:cantSplit/>
          <w:trHeight w:val="630" w:hRule="atLeast"/>
          <w:tblHeader/>
          <w:jc w:val="center"/>
        </w:trPr>
        <w:tc>
          <w:tcPr>
            <w:tcW w:w="9011" w:type="dxa"/>
            <w:gridSpan w:val="8"/>
            <w:tcBorders>
              <w:top w:val="nil"/>
              <w:left w:val="nil"/>
              <w:bottom w:val="single" w:color="auto" w:sz="4" w:space="0"/>
              <w:right w:val="nil"/>
            </w:tcBorders>
            <w:vAlign w:val="center"/>
          </w:tcPr>
          <w:p>
            <w:pPr>
              <w:widowControl/>
              <w:ind w:left="-38" w:leftChars="-18"/>
              <w:jc w:val="left"/>
              <w:rPr>
                <w:rFonts w:ascii="黑体" w:hAnsi="黑体" w:eastAsia="黑体" w:cs="宋体"/>
                <w:b/>
                <w:bCs/>
                <w:color w:val="000000"/>
                <w:kern w:val="0"/>
                <w:sz w:val="22"/>
              </w:rPr>
            </w:pPr>
            <w:r>
              <w:rPr>
                <w:rFonts w:ascii="宋体" w:hAnsi="宋体"/>
                <w:sz w:val="28"/>
              </w:rPr>
              <w:t>212唐山市统计局</w:t>
            </w:r>
          </w:p>
        </w:tc>
        <w:tc>
          <w:tcPr>
            <w:tcW w:w="5449" w:type="dxa"/>
            <w:gridSpan w:val="6"/>
            <w:tcBorders>
              <w:top w:val="nil"/>
              <w:left w:val="nil"/>
              <w:bottom w:val="single" w:color="auto" w:sz="4" w:space="0"/>
              <w:right w:val="nil"/>
            </w:tcBorders>
            <w:vAlign w:val="center"/>
          </w:tcPr>
          <w:p>
            <w:pPr>
              <w:widowControl/>
              <w:jc w:val="right"/>
              <w:rPr>
                <w:rFonts w:ascii="黑体" w:hAnsi="黑体" w:eastAsia="黑体" w:cs="宋体"/>
                <w:b/>
                <w:bCs/>
                <w:color w:val="000000"/>
                <w:kern w:val="0"/>
                <w:sz w:val="22"/>
              </w:rPr>
            </w:pPr>
            <w:r>
              <w:rPr>
                <w:rFonts w:ascii="宋体" w:hAnsi="宋体"/>
                <w:sz w:val="24"/>
              </w:rPr>
              <w:t>单位：万元</w:t>
            </w:r>
          </w:p>
        </w:tc>
      </w:tr>
      <w:tr>
        <w:trPr>
          <w:gridAfter w:val="1"/>
          <w:wAfter w:w="124" w:type="dxa"/>
          <w:cantSplit/>
          <w:trHeight w:val="285" w:hRule="atLeast"/>
          <w:tblHeader/>
          <w:jc w:val="center"/>
        </w:trPr>
        <w:tc>
          <w:tcPr>
            <w:tcW w:w="1503" w:type="dxa"/>
            <w:gridSpan w:val="2"/>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单位名称</w:t>
            </w:r>
          </w:p>
        </w:tc>
        <w:tc>
          <w:tcPr>
            <w:tcW w:w="1275"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收入科目编码</w:t>
            </w:r>
          </w:p>
        </w:tc>
        <w:tc>
          <w:tcPr>
            <w:tcW w:w="1701"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收入项目名称</w:t>
            </w:r>
          </w:p>
        </w:tc>
        <w:tc>
          <w:tcPr>
            <w:tcW w:w="1136"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合计</w:t>
            </w:r>
          </w:p>
        </w:tc>
        <w:tc>
          <w:tcPr>
            <w:tcW w:w="7833" w:type="dxa"/>
            <w:gridSpan w:val="8"/>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纳入一般公共财政预算管理的非税收入</w:t>
            </w:r>
          </w:p>
        </w:tc>
        <w:tc>
          <w:tcPr>
            <w:tcW w:w="966"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政府性基金收入</w:t>
            </w:r>
          </w:p>
        </w:tc>
      </w:tr>
      <w:tr>
        <w:trPr>
          <w:gridAfter w:val="1"/>
          <w:wAfter w:w="124" w:type="dxa"/>
          <w:cantSplit/>
          <w:trHeight w:val="465" w:hRule="atLeast"/>
          <w:tblHeader/>
          <w:jc w:val="center"/>
        </w:trPr>
        <w:tc>
          <w:tcPr>
            <w:tcW w:w="1503" w:type="dxa"/>
            <w:gridSpan w:val="2"/>
            <w:vMerge w:val="continue"/>
            <w:vAlign w:val="center"/>
          </w:tcPr>
          <w:p>
            <w:pPr>
              <w:widowControl/>
              <w:jc w:val="left"/>
              <w:rPr>
                <w:rFonts w:ascii="黑体" w:hAnsi="黑体" w:eastAsia="黑体" w:cs="宋体"/>
                <w:b/>
                <w:bCs/>
                <w:color w:val="000000"/>
                <w:kern w:val="0"/>
                <w:szCs w:val="21"/>
              </w:rPr>
            </w:pPr>
          </w:p>
        </w:tc>
        <w:tc>
          <w:tcPr>
            <w:tcW w:w="1275" w:type="dxa"/>
            <w:vMerge w:val="continue"/>
            <w:vAlign w:val="center"/>
          </w:tcPr>
          <w:p>
            <w:pPr>
              <w:widowControl/>
              <w:jc w:val="left"/>
              <w:rPr>
                <w:rFonts w:ascii="黑体" w:hAnsi="黑体" w:eastAsia="黑体" w:cs="宋体"/>
                <w:b/>
                <w:bCs/>
                <w:color w:val="000000"/>
                <w:kern w:val="0"/>
                <w:szCs w:val="21"/>
              </w:rPr>
            </w:pPr>
          </w:p>
        </w:tc>
        <w:tc>
          <w:tcPr>
            <w:tcW w:w="1701" w:type="dxa"/>
            <w:vMerge w:val="continue"/>
            <w:vAlign w:val="center"/>
          </w:tcPr>
          <w:p>
            <w:pPr>
              <w:widowControl/>
              <w:jc w:val="left"/>
              <w:rPr>
                <w:rFonts w:ascii="黑体" w:hAnsi="黑体" w:eastAsia="黑体" w:cs="宋体"/>
                <w:b/>
                <w:bCs/>
                <w:color w:val="000000"/>
                <w:kern w:val="0"/>
                <w:szCs w:val="21"/>
              </w:rPr>
            </w:pPr>
          </w:p>
        </w:tc>
        <w:tc>
          <w:tcPr>
            <w:tcW w:w="1136" w:type="dxa"/>
            <w:vMerge w:val="continue"/>
            <w:vAlign w:val="center"/>
          </w:tcPr>
          <w:p>
            <w:pPr>
              <w:widowControl/>
              <w:jc w:val="left"/>
              <w:rPr>
                <w:rFonts w:ascii="黑体" w:hAnsi="黑体" w:eastAsia="黑体" w:cs="宋体"/>
                <w:b/>
                <w:bCs/>
                <w:color w:val="000000"/>
                <w:kern w:val="0"/>
                <w:szCs w:val="21"/>
              </w:rPr>
            </w:pPr>
          </w:p>
        </w:tc>
        <w:tc>
          <w:tcPr>
            <w:tcW w:w="992"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小计</w:t>
            </w:r>
          </w:p>
        </w:tc>
        <w:tc>
          <w:tcPr>
            <w:tcW w:w="1133"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行政事业性收费</w:t>
            </w:r>
          </w:p>
        </w:tc>
        <w:tc>
          <w:tcPr>
            <w:tcW w:w="1133"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专项收入</w:t>
            </w:r>
          </w:p>
        </w:tc>
        <w:tc>
          <w:tcPr>
            <w:tcW w:w="1277" w:type="dxa"/>
            <w:gridSpan w:val="2"/>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国有资产（资源）有偿使用收入</w:t>
            </w:r>
          </w:p>
        </w:tc>
        <w:tc>
          <w:tcPr>
            <w:tcW w:w="1176"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国有资本经营收入</w:t>
            </w:r>
          </w:p>
        </w:tc>
        <w:tc>
          <w:tcPr>
            <w:tcW w:w="1061"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罚没收入</w:t>
            </w:r>
          </w:p>
        </w:tc>
        <w:tc>
          <w:tcPr>
            <w:tcW w:w="1061"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其他收入</w:t>
            </w:r>
          </w:p>
        </w:tc>
        <w:tc>
          <w:tcPr>
            <w:tcW w:w="966" w:type="dxa"/>
            <w:vMerge w:val="continue"/>
            <w:vAlign w:val="center"/>
          </w:tcPr>
          <w:p>
            <w:pPr>
              <w:widowControl/>
              <w:jc w:val="left"/>
              <w:rPr>
                <w:rFonts w:ascii="黑体" w:hAnsi="黑体" w:eastAsia="黑体" w:cs="宋体"/>
                <w:b/>
                <w:bCs/>
                <w:color w:val="000000"/>
                <w:kern w:val="0"/>
                <w:szCs w:val="21"/>
              </w:rPr>
            </w:pPr>
          </w:p>
        </w:tc>
      </w:tr>
      <w:tr>
        <w:trPr>
          <w:gridAfter w:val="1"/>
          <w:wAfter w:w="124" w:type="dxa"/>
          <w:cantSplit/>
          <w:trHeight w:val="312" w:hRule="atLeast"/>
          <w:tblHeader/>
          <w:jc w:val="center"/>
        </w:trPr>
        <w:tc>
          <w:tcPr>
            <w:tcW w:w="1503" w:type="dxa"/>
            <w:gridSpan w:val="2"/>
            <w:vMerge w:val="continue"/>
            <w:vAlign w:val="center"/>
          </w:tcPr>
          <w:p>
            <w:pPr>
              <w:widowControl/>
              <w:jc w:val="left"/>
              <w:rPr>
                <w:rFonts w:ascii="黑体" w:hAnsi="黑体" w:eastAsia="黑体" w:cs="宋体"/>
                <w:b/>
                <w:bCs/>
                <w:color w:val="000000"/>
                <w:kern w:val="0"/>
                <w:szCs w:val="21"/>
              </w:rPr>
            </w:pPr>
          </w:p>
        </w:tc>
        <w:tc>
          <w:tcPr>
            <w:tcW w:w="1275" w:type="dxa"/>
            <w:vMerge w:val="continue"/>
            <w:vAlign w:val="center"/>
          </w:tcPr>
          <w:p>
            <w:pPr>
              <w:widowControl/>
              <w:jc w:val="left"/>
              <w:rPr>
                <w:rFonts w:ascii="黑体" w:hAnsi="黑体" w:eastAsia="黑体" w:cs="宋体"/>
                <w:b/>
                <w:bCs/>
                <w:color w:val="000000"/>
                <w:kern w:val="0"/>
                <w:szCs w:val="21"/>
              </w:rPr>
            </w:pPr>
          </w:p>
        </w:tc>
        <w:tc>
          <w:tcPr>
            <w:tcW w:w="1701" w:type="dxa"/>
            <w:vMerge w:val="continue"/>
            <w:vAlign w:val="center"/>
          </w:tcPr>
          <w:p>
            <w:pPr>
              <w:widowControl/>
              <w:jc w:val="left"/>
              <w:rPr>
                <w:rFonts w:ascii="黑体" w:hAnsi="黑体" w:eastAsia="黑体" w:cs="宋体"/>
                <w:b/>
                <w:bCs/>
                <w:color w:val="000000"/>
                <w:kern w:val="0"/>
                <w:szCs w:val="21"/>
              </w:rPr>
            </w:pPr>
          </w:p>
        </w:tc>
        <w:tc>
          <w:tcPr>
            <w:tcW w:w="1136" w:type="dxa"/>
            <w:vMerge w:val="continue"/>
            <w:vAlign w:val="center"/>
          </w:tcPr>
          <w:p>
            <w:pPr>
              <w:widowControl/>
              <w:jc w:val="left"/>
              <w:rPr>
                <w:rFonts w:ascii="黑体" w:hAnsi="黑体" w:eastAsia="黑体" w:cs="宋体"/>
                <w:b/>
                <w:bCs/>
                <w:color w:val="000000"/>
                <w:kern w:val="0"/>
                <w:szCs w:val="21"/>
              </w:rPr>
            </w:pPr>
          </w:p>
        </w:tc>
        <w:tc>
          <w:tcPr>
            <w:tcW w:w="992" w:type="dxa"/>
            <w:vMerge w:val="continue"/>
            <w:vAlign w:val="center"/>
          </w:tcPr>
          <w:p>
            <w:pPr>
              <w:widowControl/>
              <w:jc w:val="left"/>
              <w:rPr>
                <w:rFonts w:ascii="黑体" w:hAnsi="黑体" w:eastAsia="黑体" w:cs="宋体"/>
                <w:b/>
                <w:bCs/>
                <w:color w:val="000000"/>
                <w:kern w:val="0"/>
                <w:szCs w:val="21"/>
              </w:rPr>
            </w:pPr>
          </w:p>
        </w:tc>
        <w:tc>
          <w:tcPr>
            <w:tcW w:w="1133" w:type="dxa"/>
            <w:vMerge w:val="continue"/>
            <w:vAlign w:val="center"/>
          </w:tcPr>
          <w:p>
            <w:pPr>
              <w:widowControl/>
              <w:jc w:val="left"/>
              <w:rPr>
                <w:rFonts w:ascii="黑体" w:hAnsi="黑体" w:eastAsia="黑体" w:cs="宋体"/>
                <w:b/>
                <w:bCs/>
                <w:color w:val="000000"/>
                <w:kern w:val="0"/>
                <w:szCs w:val="21"/>
              </w:rPr>
            </w:pPr>
          </w:p>
        </w:tc>
        <w:tc>
          <w:tcPr>
            <w:tcW w:w="1133" w:type="dxa"/>
            <w:vMerge w:val="continue"/>
            <w:vAlign w:val="center"/>
          </w:tcPr>
          <w:p>
            <w:pPr>
              <w:widowControl/>
              <w:jc w:val="left"/>
              <w:rPr>
                <w:rFonts w:ascii="黑体" w:hAnsi="黑体" w:eastAsia="黑体" w:cs="宋体"/>
                <w:b/>
                <w:bCs/>
                <w:color w:val="000000"/>
                <w:kern w:val="0"/>
                <w:szCs w:val="21"/>
              </w:rPr>
            </w:pPr>
          </w:p>
        </w:tc>
        <w:tc>
          <w:tcPr>
            <w:tcW w:w="1277" w:type="dxa"/>
            <w:gridSpan w:val="2"/>
            <w:vMerge w:val="continue"/>
            <w:vAlign w:val="center"/>
          </w:tcPr>
          <w:p>
            <w:pPr>
              <w:widowControl/>
              <w:jc w:val="left"/>
              <w:rPr>
                <w:rFonts w:ascii="黑体" w:hAnsi="黑体" w:eastAsia="黑体" w:cs="宋体"/>
                <w:b/>
                <w:bCs/>
                <w:color w:val="000000"/>
                <w:kern w:val="0"/>
                <w:szCs w:val="21"/>
              </w:rPr>
            </w:pPr>
          </w:p>
        </w:tc>
        <w:tc>
          <w:tcPr>
            <w:tcW w:w="1176" w:type="dxa"/>
            <w:vMerge w:val="continue"/>
            <w:vAlign w:val="center"/>
          </w:tcPr>
          <w:p>
            <w:pPr>
              <w:widowControl/>
              <w:jc w:val="left"/>
              <w:rPr>
                <w:rFonts w:ascii="黑体" w:hAnsi="黑体" w:eastAsia="黑体" w:cs="宋体"/>
                <w:b/>
                <w:bCs/>
                <w:color w:val="000000"/>
                <w:kern w:val="0"/>
                <w:szCs w:val="21"/>
              </w:rPr>
            </w:pPr>
          </w:p>
        </w:tc>
        <w:tc>
          <w:tcPr>
            <w:tcW w:w="1061" w:type="dxa"/>
            <w:vMerge w:val="continue"/>
            <w:vAlign w:val="center"/>
          </w:tcPr>
          <w:p>
            <w:pPr>
              <w:widowControl/>
              <w:jc w:val="left"/>
              <w:rPr>
                <w:rFonts w:ascii="黑体" w:hAnsi="黑体" w:eastAsia="黑体" w:cs="宋体"/>
                <w:b/>
                <w:bCs/>
                <w:color w:val="000000"/>
                <w:kern w:val="0"/>
                <w:szCs w:val="21"/>
              </w:rPr>
            </w:pPr>
          </w:p>
        </w:tc>
        <w:tc>
          <w:tcPr>
            <w:tcW w:w="1061" w:type="dxa"/>
            <w:vMerge w:val="continue"/>
            <w:vAlign w:val="center"/>
          </w:tcPr>
          <w:p>
            <w:pPr>
              <w:widowControl/>
              <w:jc w:val="left"/>
              <w:rPr>
                <w:rFonts w:ascii="黑体" w:hAnsi="黑体" w:eastAsia="黑体" w:cs="宋体"/>
                <w:b/>
                <w:bCs/>
                <w:color w:val="000000"/>
                <w:kern w:val="0"/>
                <w:szCs w:val="21"/>
              </w:rPr>
            </w:pPr>
          </w:p>
        </w:tc>
        <w:tc>
          <w:tcPr>
            <w:tcW w:w="966" w:type="dxa"/>
            <w:vMerge w:val="continue"/>
            <w:vAlign w:val="center"/>
          </w:tcPr>
          <w:p>
            <w:pPr>
              <w:widowControl/>
              <w:jc w:val="left"/>
              <w:rPr>
                <w:rFonts w:ascii="黑体" w:hAnsi="黑体" w:eastAsia="黑体" w:cs="宋体"/>
                <w:b/>
                <w:bCs/>
                <w:color w:val="000000"/>
                <w:kern w:val="0"/>
                <w:szCs w:val="21"/>
              </w:rPr>
            </w:pPr>
          </w:p>
        </w:tc>
      </w:tr>
      <w:tr>
        <w:trPr>
          <w:gridAfter w:val="1"/>
          <w:wAfter w:w="124" w:type="dxa"/>
          <w:cantSplit/>
          <w:trHeight w:val="312" w:hRule="atLeast"/>
          <w:tblHeader/>
          <w:jc w:val="center"/>
        </w:trPr>
        <w:tc>
          <w:tcPr>
            <w:tcW w:w="1503" w:type="dxa"/>
            <w:gridSpan w:val="2"/>
            <w:vMerge w:val="continue"/>
            <w:vAlign w:val="center"/>
          </w:tcPr>
          <w:p>
            <w:pPr>
              <w:widowControl/>
              <w:jc w:val="left"/>
              <w:rPr>
                <w:rFonts w:ascii="宋体" w:hAnsi="宋体" w:cs="宋体"/>
                <w:color w:val="000000"/>
                <w:kern w:val="0"/>
                <w:szCs w:val="21"/>
              </w:rPr>
            </w:pPr>
          </w:p>
        </w:tc>
        <w:tc>
          <w:tcPr>
            <w:tcW w:w="1275"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left"/>
              <w:rPr>
                <w:rFonts w:ascii="宋体" w:hAnsi="宋体" w:cs="宋体"/>
                <w:color w:val="000000"/>
                <w:kern w:val="0"/>
                <w:szCs w:val="21"/>
              </w:rPr>
            </w:pPr>
          </w:p>
        </w:tc>
        <w:tc>
          <w:tcPr>
            <w:tcW w:w="1136" w:type="dxa"/>
            <w:vMerge w:val="continue"/>
            <w:vAlign w:val="center"/>
          </w:tcPr>
          <w:p>
            <w:pPr>
              <w:widowControl/>
              <w:jc w:val="right"/>
              <w:rPr>
                <w:rFonts w:ascii="宋体" w:hAnsi="宋体" w:cs="宋体"/>
                <w:color w:val="000000"/>
                <w:kern w:val="0"/>
                <w:szCs w:val="21"/>
              </w:rPr>
            </w:pPr>
          </w:p>
        </w:tc>
        <w:tc>
          <w:tcPr>
            <w:tcW w:w="992" w:type="dxa"/>
            <w:vMerge w:val="continue"/>
            <w:vAlign w:val="center"/>
          </w:tcPr>
          <w:p>
            <w:pPr>
              <w:widowControl/>
              <w:jc w:val="right"/>
              <w:rPr>
                <w:rFonts w:ascii="宋体" w:hAnsi="宋体" w:cs="宋体"/>
                <w:color w:val="000000"/>
                <w:kern w:val="0"/>
                <w:szCs w:val="21"/>
              </w:rPr>
            </w:pPr>
          </w:p>
        </w:tc>
        <w:tc>
          <w:tcPr>
            <w:tcW w:w="1133" w:type="dxa"/>
            <w:vMerge w:val="continue"/>
            <w:vAlign w:val="center"/>
          </w:tcPr>
          <w:p>
            <w:pPr>
              <w:widowControl/>
              <w:jc w:val="right"/>
              <w:rPr>
                <w:rFonts w:ascii="宋体" w:hAnsi="宋体" w:cs="宋体"/>
                <w:color w:val="000000"/>
                <w:kern w:val="0"/>
                <w:szCs w:val="21"/>
              </w:rPr>
            </w:pPr>
          </w:p>
        </w:tc>
        <w:tc>
          <w:tcPr>
            <w:tcW w:w="1133" w:type="dxa"/>
            <w:vMerge w:val="continue"/>
            <w:vAlign w:val="center"/>
          </w:tcPr>
          <w:p>
            <w:pPr>
              <w:widowControl/>
              <w:jc w:val="right"/>
              <w:rPr>
                <w:rFonts w:ascii="宋体" w:hAnsi="宋体" w:cs="宋体"/>
                <w:color w:val="000000"/>
                <w:kern w:val="0"/>
                <w:szCs w:val="21"/>
              </w:rPr>
            </w:pPr>
          </w:p>
        </w:tc>
        <w:tc>
          <w:tcPr>
            <w:tcW w:w="1277" w:type="dxa"/>
            <w:gridSpan w:val="2"/>
            <w:vMerge w:val="continue"/>
            <w:vAlign w:val="center"/>
          </w:tcPr>
          <w:p>
            <w:pPr>
              <w:widowControl/>
              <w:jc w:val="right"/>
              <w:rPr>
                <w:rFonts w:ascii="宋体" w:hAnsi="宋体" w:cs="宋体"/>
                <w:color w:val="000000"/>
                <w:kern w:val="0"/>
                <w:szCs w:val="21"/>
              </w:rPr>
            </w:pPr>
          </w:p>
        </w:tc>
        <w:tc>
          <w:tcPr>
            <w:tcW w:w="1176" w:type="dxa"/>
            <w:vMerge w:val="continue"/>
            <w:vAlign w:val="center"/>
          </w:tcPr>
          <w:p>
            <w:pPr>
              <w:widowControl/>
              <w:jc w:val="right"/>
              <w:rPr>
                <w:rFonts w:ascii="宋体" w:hAnsi="宋体" w:cs="宋体"/>
                <w:color w:val="000000"/>
                <w:kern w:val="0"/>
                <w:szCs w:val="21"/>
              </w:rPr>
            </w:pPr>
          </w:p>
        </w:tc>
        <w:tc>
          <w:tcPr>
            <w:tcW w:w="1061" w:type="dxa"/>
            <w:vMerge w:val="continue"/>
            <w:vAlign w:val="center"/>
          </w:tcPr>
          <w:p>
            <w:pPr>
              <w:widowControl/>
              <w:jc w:val="right"/>
              <w:rPr>
                <w:rFonts w:ascii="宋体" w:hAnsi="宋体" w:cs="宋体"/>
                <w:color w:val="000000"/>
                <w:kern w:val="0"/>
                <w:szCs w:val="21"/>
              </w:rPr>
            </w:pPr>
          </w:p>
        </w:tc>
        <w:tc>
          <w:tcPr>
            <w:tcW w:w="1061" w:type="dxa"/>
            <w:vMerge w:val="continue"/>
            <w:vAlign w:val="center"/>
          </w:tcPr>
          <w:p>
            <w:pPr>
              <w:widowControl/>
              <w:jc w:val="right"/>
              <w:rPr>
                <w:rFonts w:ascii="宋体" w:hAnsi="宋体" w:cs="宋体"/>
                <w:color w:val="000000"/>
                <w:kern w:val="0"/>
                <w:szCs w:val="21"/>
              </w:rPr>
            </w:pPr>
          </w:p>
        </w:tc>
        <w:tc>
          <w:tcPr>
            <w:tcW w:w="966" w:type="dxa"/>
            <w:vMerge w:val="continue"/>
            <w:vAlign w:val="center"/>
          </w:tcPr>
          <w:p>
            <w:pPr>
              <w:widowControl/>
              <w:jc w:val="right"/>
              <w:rPr>
                <w:rFonts w:ascii="宋体" w:hAnsi="宋体" w:cs="宋体"/>
                <w:color w:val="000000"/>
                <w:kern w:val="0"/>
                <w:szCs w:val="21"/>
              </w:rPr>
            </w:pPr>
          </w:p>
        </w:tc>
      </w:tr>
      <w:tr>
        <w:trPr>
          <w:gridAfter w:val="1"/>
          <w:wAfter w:w="124" w:type="dxa"/>
          <w:cantSplit/>
          <w:trHeight w:val="312" w:hRule="atLeast"/>
          <w:jc w:val="center"/>
        </w:trPr>
        <w:tc>
          <w:tcPr>
            <w:tcW w:w="150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唐山市统计局</w:t>
            </w:r>
          </w:p>
        </w:tc>
        <w:tc>
          <w:tcPr>
            <w:tcW w:w="1275" w:type="dxa"/>
            <w:vAlign w:val="center"/>
          </w:tcPr>
          <w:p>
            <w:pPr>
              <w:widowControl/>
              <w:jc w:val="left"/>
              <w:rPr>
                <w:rFonts w:ascii="宋体" w:hAnsi="宋体" w:cs="宋体"/>
                <w:color w:val="000000"/>
                <w:kern w:val="0"/>
                <w:szCs w:val="21"/>
              </w:rPr>
            </w:pPr>
            <w:r>
              <w:rPr>
                <w:rFonts w:ascii="宋体" w:hAnsi="宋体" w:cs="宋体"/>
                <w:color w:val="000000"/>
                <w:kern w:val="0"/>
                <w:szCs w:val="21"/>
              </w:rPr>
              <w:t>103043101</w:t>
            </w:r>
          </w:p>
        </w:tc>
        <w:tc>
          <w:tcPr>
            <w:tcW w:w="17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统计专业技术资格考试考务费</w:t>
            </w:r>
          </w:p>
        </w:tc>
        <w:tc>
          <w:tcPr>
            <w:tcW w:w="1136"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992"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133"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133" w:type="dxa"/>
            <w:vAlign w:val="center"/>
          </w:tcPr>
          <w:p>
            <w:pPr>
              <w:widowControl/>
              <w:jc w:val="right"/>
              <w:rPr>
                <w:rFonts w:ascii="宋体" w:hAnsi="宋体" w:cs="宋体"/>
                <w:color w:val="000000"/>
                <w:kern w:val="0"/>
                <w:szCs w:val="21"/>
              </w:rPr>
            </w:pPr>
          </w:p>
        </w:tc>
        <w:tc>
          <w:tcPr>
            <w:tcW w:w="1277" w:type="dxa"/>
            <w:gridSpan w:val="2"/>
            <w:vAlign w:val="center"/>
          </w:tcPr>
          <w:p>
            <w:pPr>
              <w:widowControl/>
              <w:jc w:val="right"/>
              <w:rPr>
                <w:rFonts w:ascii="宋体" w:hAnsi="宋体" w:cs="宋体"/>
                <w:color w:val="000000"/>
                <w:kern w:val="0"/>
                <w:szCs w:val="21"/>
              </w:rPr>
            </w:pPr>
          </w:p>
        </w:tc>
        <w:tc>
          <w:tcPr>
            <w:tcW w:w="1176" w:type="dxa"/>
            <w:vAlign w:val="center"/>
          </w:tcPr>
          <w:p>
            <w:pPr>
              <w:widowControl/>
              <w:jc w:val="right"/>
              <w:rPr>
                <w:rFonts w:ascii="宋体" w:hAnsi="宋体" w:cs="宋体"/>
                <w:color w:val="000000"/>
                <w:kern w:val="0"/>
                <w:szCs w:val="21"/>
              </w:rPr>
            </w:pPr>
          </w:p>
        </w:tc>
        <w:tc>
          <w:tcPr>
            <w:tcW w:w="1061" w:type="dxa"/>
            <w:vAlign w:val="center"/>
          </w:tcPr>
          <w:p>
            <w:pPr>
              <w:widowControl/>
              <w:jc w:val="right"/>
              <w:rPr>
                <w:rFonts w:ascii="宋体" w:hAnsi="宋体" w:cs="宋体"/>
                <w:color w:val="000000"/>
                <w:kern w:val="0"/>
                <w:szCs w:val="21"/>
              </w:rPr>
            </w:pPr>
          </w:p>
        </w:tc>
        <w:tc>
          <w:tcPr>
            <w:tcW w:w="1061" w:type="dxa"/>
            <w:vAlign w:val="center"/>
          </w:tcPr>
          <w:p>
            <w:pPr>
              <w:widowControl/>
              <w:jc w:val="right"/>
              <w:rPr>
                <w:rFonts w:ascii="宋体" w:hAnsi="宋体" w:cs="宋体"/>
                <w:color w:val="000000"/>
                <w:kern w:val="0"/>
                <w:szCs w:val="21"/>
              </w:rPr>
            </w:pPr>
          </w:p>
        </w:tc>
        <w:tc>
          <w:tcPr>
            <w:tcW w:w="966" w:type="dxa"/>
            <w:vAlign w:val="center"/>
          </w:tcPr>
          <w:p>
            <w:pPr>
              <w:widowControl/>
              <w:jc w:val="right"/>
              <w:rPr>
                <w:rFonts w:ascii="宋体" w:hAnsi="宋体" w:cs="宋体"/>
                <w:color w:val="000000"/>
                <w:kern w:val="0"/>
                <w:szCs w:val="21"/>
              </w:rPr>
            </w:pPr>
          </w:p>
        </w:tc>
      </w:tr>
      <w:tr>
        <w:trPr>
          <w:gridAfter w:val="1"/>
          <w:wAfter w:w="124" w:type="dxa"/>
          <w:cantSplit/>
          <w:trHeight w:val="312" w:hRule="atLeast"/>
          <w:jc w:val="center"/>
        </w:trPr>
        <w:tc>
          <w:tcPr>
            <w:tcW w:w="150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合计</w:t>
            </w:r>
          </w:p>
        </w:tc>
        <w:tc>
          <w:tcPr>
            <w:tcW w:w="1275" w:type="dxa"/>
            <w:vAlign w:val="center"/>
          </w:tcPr>
          <w:p>
            <w:pPr>
              <w:widowControl/>
              <w:jc w:val="left"/>
              <w:rPr>
                <w:rFonts w:ascii="宋体" w:hAnsi="宋体" w:cs="宋体"/>
                <w:color w:val="000000"/>
                <w:kern w:val="0"/>
                <w:szCs w:val="21"/>
              </w:rPr>
            </w:pPr>
          </w:p>
        </w:tc>
        <w:tc>
          <w:tcPr>
            <w:tcW w:w="1701" w:type="dxa"/>
            <w:vAlign w:val="center"/>
          </w:tcPr>
          <w:p>
            <w:pPr>
              <w:widowControl/>
              <w:jc w:val="left"/>
              <w:rPr>
                <w:rFonts w:ascii="宋体" w:hAnsi="宋体" w:cs="宋体"/>
                <w:color w:val="000000"/>
                <w:kern w:val="0"/>
                <w:szCs w:val="21"/>
              </w:rPr>
            </w:pPr>
          </w:p>
        </w:tc>
        <w:tc>
          <w:tcPr>
            <w:tcW w:w="1136"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992"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133"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133" w:type="dxa"/>
            <w:vAlign w:val="center"/>
          </w:tcPr>
          <w:p>
            <w:pPr>
              <w:widowControl/>
              <w:jc w:val="right"/>
              <w:rPr>
                <w:rFonts w:ascii="宋体" w:hAnsi="宋体" w:cs="宋体"/>
                <w:color w:val="000000"/>
                <w:kern w:val="0"/>
                <w:szCs w:val="21"/>
              </w:rPr>
            </w:pPr>
          </w:p>
        </w:tc>
        <w:tc>
          <w:tcPr>
            <w:tcW w:w="1277" w:type="dxa"/>
            <w:gridSpan w:val="2"/>
            <w:vAlign w:val="center"/>
          </w:tcPr>
          <w:p>
            <w:pPr>
              <w:widowControl/>
              <w:jc w:val="right"/>
              <w:rPr>
                <w:rFonts w:ascii="宋体" w:hAnsi="宋体" w:cs="宋体"/>
                <w:color w:val="000000"/>
                <w:kern w:val="0"/>
                <w:szCs w:val="21"/>
              </w:rPr>
            </w:pPr>
          </w:p>
        </w:tc>
        <w:tc>
          <w:tcPr>
            <w:tcW w:w="1176" w:type="dxa"/>
            <w:vAlign w:val="center"/>
          </w:tcPr>
          <w:p>
            <w:pPr>
              <w:widowControl/>
              <w:jc w:val="right"/>
              <w:rPr>
                <w:rFonts w:ascii="宋体" w:hAnsi="宋体" w:cs="宋体"/>
                <w:color w:val="000000"/>
                <w:kern w:val="0"/>
                <w:szCs w:val="21"/>
              </w:rPr>
            </w:pPr>
          </w:p>
        </w:tc>
        <w:tc>
          <w:tcPr>
            <w:tcW w:w="1061" w:type="dxa"/>
            <w:vAlign w:val="center"/>
          </w:tcPr>
          <w:p>
            <w:pPr>
              <w:widowControl/>
              <w:jc w:val="right"/>
              <w:rPr>
                <w:rFonts w:ascii="宋体" w:hAnsi="宋体" w:cs="宋体"/>
                <w:color w:val="000000"/>
                <w:kern w:val="0"/>
                <w:szCs w:val="21"/>
              </w:rPr>
            </w:pPr>
          </w:p>
        </w:tc>
        <w:tc>
          <w:tcPr>
            <w:tcW w:w="1061" w:type="dxa"/>
            <w:vAlign w:val="center"/>
          </w:tcPr>
          <w:p>
            <w:pPr>
              <w:widowControl/>
              <w:jc w:val="right"/>
              <w:rPr>
                <w:rFonts w:ascii="宋体" w:hAnsi="宋体" w:cs="宋体"/>
                <w:color w:val="000000"/>
                <w:kern w:val="0"/>
                <w:szCs w:val="21"/>
              </w:rPr>
            </w:pPr>
          </w:p>
        </w:tc>
        <w:tc>
          <w:tcPr>
            <w:tcW w:w="966" w:type="dxa"/>
            <w:vAlign w:val="center"/>
          </w:tcPr>
          <w:p>
            <w:pPr>
              <w:widowControl/>
              <w:jc w:val="right"/>
              <w:rPr>
                <w:rFonts w:ascii="宋体" w:hAnsi="宋体" w:cs="宋体"/>
                <w:color w:val="000000"/>
                <w:kern w:val="0"/>
                <w:szCs w:val="21"/>
              </w:rPr>
            </w:pPr>
          </w:p>
        </w:tc>
      </w:tr>
    </w:tbl>
    <w:p/>
    <w:p>
      <w:pPr>
        <w:jc w:val="left"/>
        <w:sectPr>
          <w:headerReference r:id="rId17" w:type="default"/>
          <w:pgSz w:w="16838" w:h="11906" w:orient="landscape"/>
          <w:pgMar w:top="1800" w:right="1440" w:bottom="1800" w:left="1440" w:header="851" w:footer="992" w:gutter="0"/>
          <w:cols w:space="720" w:num="1"/>
          <w:docGrid w:type="lines" w:linePitch="312"/>
        </w:sectPr>
      </w:pPr>
    </w:p>
    <w:p>
      <w:pPr>
        <w:pStyle w:val="10"/>
        <w:rPr>
          <w:sz w:val="28"/>
        </w:rPr>
      </w:pPr>
      <w:bookmarkStart w:id="11" w:name="_Toc383873143"/>
      <w:bookmarkStart w:id="12" w:name="_Toc476153810"/>
      <w:r>
        <w:rPr>
          <w:rFonts w:hint="eastAsia"/>
        </w:rPr>
        <w:t>部门基本情况</w:t>
      </w:r>
      <w:bookmarkEnd w:id="11"/>
      <w:bookmarkEnd w:id="12"/>
      <w:r>
        <w:rPr>
          <w:rFonts w:hint="eastAsia"/>
          <w:sz w:val="28"/>
        </w:rPr>
        <w:t xml:space="preserve">  </w:t>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227"/>
        <w:gridCol w:w="1135"/>
        <w:gridCol w:w="1134"/>
        <w:gridCol w:w="1843"/>
        <w:gridCol w:w="850"/>
        <w:gridCol w:w="850"/>
        <w:gridCol w:w="850"/>
        <w:gridCol w:w="850"/>
        <w:gridCol w:w="769"/>
        <w:gridCol w:w="81"/>
        <w:gridCol w:w="995"/>
        <w:gridCol w:w="853"/>
        <w:gridCol w:w="737"/>
      </w:tblGrid>
      <w:tr>
        <w:trPr>
          <w:cantSplit/>
          <w:trHeight w:val="495" w:hRule="atLeast"/>
          <w:tblHeader/>
          <w:jc w:val="center"/>
        </w:trPr>
        <w:tc>
          <w:tcPr>
            <w:tcW w:w="11508" w:type="dxa"/>
            <w:gridSpan w:val="9"/>
            <w:tcBorders>
              <w:top w:val="nil"/>
              <w:left w:val="nil"/>
              <w:right w:val="nil"/>
            </w:tcBorders>
            <w:vAlign w:val="center"/>
          </w:tcPr>
          <w:p>
            <w:pPr>
              <w:widowControl/>
              <w:jc w:val="left"/>
              <w:rPr>
                <w:rFonts w:ascii="黑体" w:hAnsi="黑体" w:eastAsia="黑体" w:cs="宋体"/>
                <w:b/>
                <w:bCs/>
                <w:color w:val="000000"/>
                <w:kern w:val="0"/>
                <w:sz w:val="22"/>
              </w:rPr>
            </w:pPr>
            <w:r>
              <w:rPr>
                <w:rFonts w:ascii="宋体" w:hAnsi="宋体"/>
                <w:sz w:val="28"/>
              </w:rPr>
              <w:t>212唐山市统计局</w:t>
            </w:r>
          </w:p>
        </w:tc>
        <w:tc>
          <w:tcPr>
            <w:tcW w:w="2666" w:type="dxa"/>
            <w:gridSpan w:val="4"/>
            <w:tcBorders>
              <w:top w:val="nil"/>
              <w:left w:val="nil"/>
              <w:right w:val="nil"/>
            </w:tcBorders>
            <w:vAlign w:val="center"/>
          </w:tcPr>
          <w:p>
            <w:pPr>
              <w:widowControl/>
              <w:jc w:val="right"/>
              <w:rPr>
                <w:rFonts w:ascii="黑体" w:hAnsi="黑体" w:eastAsia="黑体" w:cs="宋体"/>
                <w:b/>
                <w:bCs/>
                <w:color w:val="000000"/>
                <w:kern w:val="0"/>
                <w:sz w:val="22"/>
              </w:rPr>
            </w:pPr>
            <w:r>
              <w:rPr>
                <w:rFonts w:ascii="宋体" w:hAnsi="宋体"/>
                <w:sz w:val="24"/>
              </w:rPr>
              <w:t>单位：人</w:t>
            </w:r>
          </w:p>
        </w:tc>
      </w:tr>
      <w:tr>
        <w:trPr>
          <w:cantSplit/>
          <w:trHeight w:val="270" w:hRule="atLeast"/>
          <w:tblHeader/>
          <w:jc w:val="center"/>
        </w:trPr>
        <w:tc>
          <w:tcPr>
            <w:tcW w:w="3227"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单位名称</w:t>
            </w:r>
          </w:p>
        </w:tc>
        <w:tc>
          <w:tcPr>
            <w:tcW w:w="1135"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单位性质</w:t>
            </w:r>
          </w:p>
        </w:tc>
        <w:tc>
          <w:tcPr>
            <w:tcW w:w="1134"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单位规格</w:t>
            </w:r>
          </w:p>
        </w:tc>
        <w:tc>
          <w:tcPr>
            <w:tcW w:w="1843"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经费保障形式</w:t>
            </w:r>
          </w:p>
        </w:tc>
        <w:tc>
          <w:tcPr>
            <w:tcW w:w="850"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车辆编制数</w:t>
            </w:r>
          </w:p>
        </w:tc>
        <w:tc>
          <w:tcPr>
            <w:tcW w:w="1700" w:type="dxa"/>
            <w:gridSpan w:val="2"/>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编制人数</w:t>
            </w:r>
          </w:p>
        </w:tc>
        <w:tc>
          <w:tcPr>
            <w:tcW w:w="1700" w:type="dxa"/>
            <w:gridSpan w:val="3"/>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编制内实有人数</w:t>
            </w:r>
          </w:p>
        </w:tc>
        <w:tc>
          <w:tcPr>
            <w:tcW w:w="995"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编制外实有人数</w:t>
            </w:r>
          </w:p>
        </w:tc>
        <w:tc>
          <w:tcPr>
            <w:tcW w:w="1590" w:type="dxa"/>
            <w:gridSpan w:val="2"/>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离退人数</w:t>
            </w:r>
          </w:p>
        </w:tc>
      </w:tr>
      <w:tr>
        <w:trPr>
          <w:cantSplit/>
          <w:trHeight w:val="312" w:hRule="atLeast"/>
          <w:tblHeader/>
          <w:jc w:val="center"/>
        </w:trPr>
        <w:tc>
          <w:tcPr>
            <w:tcW w:w="3227" w:type="dxa"/>
            <w:vMerge w:val="continue"/>
            <w:vAlign w:val="center"/>
          </w:tcPr>
          <w:p>
            <w:pPr>
              <w:widowControl/>
              <w:jc w:val="center"/>
              <w:rPr>
                <w:rFonts w:ascii="黑体" w:hAnsi="黑体" w:eastAsia="黑体" w:cs="宋体"/>
                <w:b/>
                <w:bCs/>
                <w:color w:val="000000"/>
                <w:kern w:val="0"/>
                <w:szCs w:val="21"/>
              </w:rPr>
            </w:pPr>
          </w:p>
        </w:tc>
        <w:tc>
          <w:tcPr>
            <w:tcW w:w="1135" w:type="dxa"/>
            <w:vMerge w:val="continue"/>
            <w:vAlign w:val="center"/>
          </w:tcPr>
          <w:p>
            <w:pPr>
              <w:widowControl/>
              <w:jc w:val="center"/>
              <w:rPr>
                <w:rFonts w:ascii="黑体" w:hAnsi="黑体" w:eastAsia="黑体" w:cs="宋体"/>
                <w:b/>
                <w:bCs/>
                <w:color w:val="000000"/>
                <w:kern w:val="0"/>
                <w:szCs w:val="21"/>
              </w:rPr>
            </w:pPr>
          </w:p>
        </w:tc>
        <w:tc>
          <w:tcPr>
            <w:tcW w:w="1134" w:type="dxa"/>
            <w:vMerge w:val="continue"/>
            <w:vAlign w:val="center"/>
          </w:tcPr>
          <w:p>
            <w:pPr>
              <w:widowControl/>
              <w:jc w:val="center"/>
              <w:rPr>
                <w:rFonts w:ascii="黑体" w:hAnsi="黑体" w:eastAsia="黑体" w:cs="宋体"/>
                <w:b/>
                <w:bCs/>
                <w:color w:val="000000"/>
                <w:kern w:val="0"/>
                <w:szCs w:val="21"/>
              </w:rPr>
            </w:pPr>
          </w:p>
        </w:tc>
        <w:tc>
          <w:tcPr>
            <w:tcW w:w="1843" w:type="dxa"/>
            <w:vMerge w:val="continue"/>
            <w:vAlign w:val="center"/>
          </w:tcPr>
          <w:p>
            <w:pPr>
              <w:widowControl/>
              <w:jc w:val="center"/>
              <w:rPr>
                <w:rFonts w:ascii="黑体" w:hAnsi="黑体" w:eastAsia="黑体" w:cs="宋体"/>
                <w:b/>
                <w:bCs/>
                <w:color w:val="000000"/>
                <w:kern w:val="0"/>
                <w:szCs w:val="21"/>
              </w:rPr>
            </w:pPr>
          </w:p>
        </w:tc>
        <w:tc>
          <w:tcPr>
            <w:tcW w:w="850" w:type="dxa"/>
            <w:vMerge w:val="continue"/>
            <w:vAlign w:val="center"/>
          </w:tcPr>
          <w:p>
            <w:pPr>
              <w:widowControl/>
              <w:jc w:val="center"/>
              <w:rPr>
                <w:rFonts w:ascii="黑体" w:hAnsi="黑体" w:eastAsia="黑体" w:cs="宋体"/>
                <w:b/>
                <w:bCs/>
                <w:color w:val="000000"/>
                <w:kern w:val="0"/>
                <w:szCs w:val="21"/>
              </w:rPr>
            </w:pPr>
          </w:p>
        </w:tc>
        <w:tc>
          <w:tcPr>
            <w:tcW w:w="850"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行政</w:t>
            </w:r>
          </w:p>
        </w:tc>
        <w:tc>
          <w:tcPr>
            <w:tcW w:w="850"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事业</w:t>
            </w:r>
          </w:p>
        </w:tc>
        <w:tc>
          <w:tcPr>
            <w:tcW w:w="850"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行政</w:t>
            </w:r>
          </w:p>
        </w:tc>
        <w:tc>
          <w:tcPr>
            <w:tcW w:w="850" w:type="dxa"/>
            <w:gridSpan w:val="2"/>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事业</w:t>
            </w:r>
          </w:p>
        </w:tc>
        <w:tc>
          <w:tcPr>
            <w:tcW w:w="995" w:type="dxa"/>
            <w:vMerge w:val="continue"/>
            <w:vAlign w:val="center"/>
          </w:tcPr>
          <w:p>
            <w:pPr>
              <w:widowControl/>
              <w:jc w:val="center"/>
              <w:rPr>
                <w:rFonts w:ascii="黑体" w:hAnsi="黑体" w:eastAsia="黑体" w:cs="宋体"/>
                <w:b/>
                <w:bCs/>
                <w:color w:val="000000"/>
                <w:kern w:val="0"/>
                <w:szCs w:val="21"/>
              </w:rPr>
            </w:pPr>
          </w:p>
        </w:tc>
        <w:tc>
          <w:tcPr>
            <w:tcW w:w="853"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离休</w:t>
            </w:r>
          </w:p>
        </w:tc>
        <w:tc>
          <w:tcPr>
            <w:tcW w:w="737"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退休</w:t>
            </w:r>
          </w:p>
        </w:tc>
      </w:tr>
      <w:tr>
        <w:trPr>
          <w:cantSplit/>
          <w:trHeight w:val="312" w:hRule="atLeast"/>
          <w:tblHeader/>
          <w:jc w:val="center"/>
        </w:trPr>
        <w:tc>
          <w:tcPr>
            <w:tcW w:w="3227" w:type="dxa"/>
            <w:vMerge w:val="continue"/>
            <w:vAlign w:val="center"/>
          </w:tcPr>
          <w:p>
            <w:pPr>
              <w:widowControl/>
              <w:jc w:val="center"/>
              <w:rPr>
                <w:rFonts w:ascii="黑体" w:hAnsi="黑体" w:eastAsia="黑体" w:cs="宋体"/>
                <w:b/>
                <w:bCs/>
                <w:color w:val="000000"/>
                <w:kern w:val="0"/>
                <w:szCs w:val="21"/>
              </w:rPr>
            </w:pPr>
          </w:p>
        </w:tc>
        <w:tc>
          <w:tcPr>
            <w:tcW w:w="1135" w:type="dxa"/>
            <w:vMerge w:val="continue"/>
            <w:vAlign w:val="center"/>
          </w:tcPr>
          <w:p>
            <w:pPr>
              <w:widowControl/>
              <w:jc w:val="center"/>
              <w:rPr>
                <w:rFonts w:ascii="黑体" w:hAnsi="黑体" w:eastAsia="黑体" w:cs="宋体"/>
                <w:b/>
                <w:bCs/>
                <w:color w:val="000000"/>
                <w:kern w:val="0"/>
                <w:szCs w:val="21"/>
              </w:rPr>
            </w:pPr>
          </w:p>
        </w:tc>
        <w:tc>
          <w:tcPr>
            <w:tcW w:w="1134" w:type="dxa"/>
            <w:vMerge w:val="continue"/>
            <w:vAlign w:val="center"/>
          </w:tcPr>
          <w:p>
            <w:pPr>
              <w:widowControl/>
              <w:jc w:val="center"/>
              <w:rPr>
                <w:rFonts w:ascii="黑体" w:hAnsi="黑体" w:eastAsia="黑体" w:cs="宋体"/>
                <w:b/>
                <w:bCs/>
                <w:color w:val="000000"/>
                <w:kern w:val="0"/>
                <w:szCs w:val="21"/>
              </w:rPr>
            </w:pPr>
          </w:p>
        </w:tc>
        <w:tc>
          <w:tcPr>
            <w:tcW w:w="1843" w:type="dxa"/>
            <w:vMerge w:val="continue"/>
            <w:vAlign w:val="center"/>
          </w:tcPr>
          <w:p>
            <w:pPr>
              <w:widowControl/>
              <w:jc w:val="center"/>
              <w:rPr>
                <w:rFonts w:ascii="黑体" w:hAnsi="黑体" w:eastAsia="黑体" w:cs="宋体"/>
                <w:b/>
                <w:bCs/>
                <w:color w:val="000000"/>
                <w:kern w:val="0"/>
                <w:szCs w:val="21"/>
              </w:rPr>
            </w:pPr>
          </w:p>
        </w:tc>
        <w:tc>
          <w:tcPr>
            <w:tcW w:w="850" w:type="dxa"/>
            <w:vMerge w:val="continue"/>
            <w:vAlign w:val="center"/>
          </w:tcPr>
          <w:p>
            <w:pPr>
              <w:widowControl/>
              <w:jc w:val="center"/>
              <w:rPr>
                <w:rFonts w:ascii="黑体" w:hAnsi="黑体" w:eastAsia="黑体" w:cs="宋体"/>
                <w:b/>
                <w:bCs/>
                <w:color w:val="000000"/>
                <w:kern w:val="0"/>
                <w:szCs w:val="21"/>
              </w:rPr>
            </w:pPr>
          </w:p>
        </w:tc>
        <w:tc>
          <w:tcPr>
            <w:tcW w:w="850" w:type="dxa"/>
            <w:vMerge w:val="continue"/>
            <w:vAlign w:val="center"/>
          </w:tcPr>
          <w:p>
            <w:pPr>
              <w:widowControl/>
              <w:jc w:val="center"/>
              <w:rPr>
                <w:rFonts w:ascii="黑体" w:hAnsi="黑体" w:eastAsia="黑体" w:cs="宋体"/>
                <w:b/>
                <w:bCs/>
                <w:color w:val="000000"/>
                <w:kern w:val="0"/>
                <w:szCs w:val="21"/>
              </w:rPr>
            </w:pPr>
          </w:p>
        </w:tc>
        <w:tc>
          <w:tcPr>
            <w:tcW w:w="850" w:type="dxa"/>
            <w:vMerge w:val="continue"/>
            <w:vAlign w:val="center"/>
          </w:tcPr>
          <w:p>
            <w:pPr>
              <w:widowControl/>
              <w:jc w:val="center"/>
              <w:rPr>
                <w:rFonts w:ascii="黑体" w:hAnsi="黑体" w:eastAsia="黑体" w:cs="宋体"/>
                <w:b/>
                <w:bCs/>
                <w:color w:val="000000"/>
                <w:kern w:val="0"/>
                <w:szCs w:val="21"/>
              </w:rPr>
            </w:pPr>
          </w:p>
        </w:tc>
        <w:tc>
          <w:tcPr>
            <w:tcW w:w="850" w:type="dxa"/>
            <w:vMerge w:val="continue"/>
            <w:vAlign w:val="center"/>
          </w:tcPr>
          <w:p>
            <w:pPr>
              <w:widowControl/>
              <w:jc w:val="center"/>
              <w:rPr>
                <w:rFonts w:ascii="黑体" w:hAnsi="黑体" w:eastAsia="黑体" w:cs="宋体"/>
                <w:b/>
                <w:bCs/>
                <w:color w:val="000000"/>
                <w:kern w:val="0"/>
                <w:szCs w:val="21"/>
              </w:rPr>
            </w:pPr>
          </w:p>
        </w:tc>
        <w:tc>
          <w:tcPr>
            <w:tcW w:w="850" w:type="dxa"/>
            <w:gridSpan w:val="2"/>
            <w:vMerge w:val="continue"/>
            <w:vAlign w:val="center"/>
          </w:tcPr>
          <w:p>
            <w:pPr>
              <w:widowControl/>
              <w:jc w:val="center"/>
              <w:rPr>
                <w:rFonts w:ascii="黑体" w:hAnsi="黑体" w:eastAsia="黑体" w:cs="宋体"/>
                <w:b/>
                <w:bCs/>
                <w:color w:val="000000"/>
                <w:kern w:val="0"/>
                <w:szCs w:val="21"/>
              </w:rPr>
            </w:pPr>
          </w:p>
        </w:tc>
        <w:tc>
          <w:tcPr>
            <w:tcW w:w="995" w:type="dxa"/>
            <w:vMerge w:val="continue"/>
            <w:vAlign w:val="center"/>
          </w:tcPr>
          <w:p>
            <w:pPr>
              <w:widowControl/>
              <w:jc w:val="center"/>
              <w:rPr>
                <w:rFonts w:ascii="黑体" w:hAnsi="黑体" w:eastAsia="黑体" w:cs="宋体"/>
                <w:b/>
                <w:bCs/>
                <w:color w:val="000000"/>
                <w:kern w:val="0"/>
                <w:szCs w:val="21"/>
              </w:rPr>
            </w:pPr>
          </w:p>
        </w:tc>
        <w:tc>
          <w:tcPr>
            <w:tcW w:w="853" w:type="dxa"/>
            <w:vMerge w:val="continue"/>
            <w:vAlign w:val="center"/>
          </w:tcPr>
          <w:p>
            <w:pPr>
              <w:widowControl/>
              <w:jc w:val="center"/>
              <w:rPr>
                <w:rFonts w:ascii="黑体" w:hAnsi="黑体" w:eastAsia="黑体" w:cs="宋体"/>
                <w:b/>
                <w:bCs/>
                <w:color w:val="000000"/>
                <w:kern w:val="0"/>
                <w:szCs w:val="21"/>
              </w:rPr>
            </w:pPr>
          </w:p>
        </w:tc>
        <w:tc>
          <w:tcPr>
            <w:tcW w:w="737" w:type="dxa"/>
            <w:vMerge w:val="continue"/>
            <w:vAlign w:val="center"/>
          </w:tcPr>
          <w:p>
            <w:pPr>
              <w:widowControl/>
              <w:jc w:val="center"/>
              <w:rPr>
                <w:rFonts w:ascii="黑体" w:hAnsi="黑体" w:eastAsia="黑体" w:cs="宋体"/>
                <w:b/>
                <w:bCs/>
                <w:color w:val="000000"/>
                <w:kern w:val="0"/>
                <w:szCs w:val="21"/>
              </w:rPr>
            </w:pPr>
          </w:p>
        </w:tc>
      </w:tr>
      <w:tr>
        <w:trPr>
          <w:cantSplit/>
          <w:trHeight w:val="312" w:hRule="atLeast"/>
          <w:tblHeader/>
          <w:jc w:val="center"/>
        </w:trPr>
        <w:tc>
          <w:tcPr>
            <w:tcW w:w="3227" w:type="dxa"/>
            <w:vMerge w:val="continue"/>
            <w:vAlign w:val="center"/>
          </w:tcPr>
          <w:p>
            <w:pPr>
              <w:widowControl/>
              <w:rPr>
                <w:rFonts w:ascii="宋体" w:hAnsi="宋体" w:cs="宋体"/>
                <w:color w:val="000000"/>
                <w:kern w:val="0"/>
                <w:szCs w:val="21"/>
              </w:rPr>
            </w:pPr>
          </w:p>
        </w:tc>
        <w:tc>
          <w:tcPr>
            <w:tcW w:w="1135" w:type="dxa"/>
            <w:vMerge w:val="continue"/>
            <w:vAlign w:val="center"/>
          </w:tcPr>
          <w:p>
            <w:pPr>
              <w:widowControl/>
              <w:rPr>
                <w:rFonts w:ascii="宋体" w:hAnsi="宋体" w:cs="宋体"/>
                <w:color w:val="000000"/>
                <w:kern w:val="0"/>
                <w:szCs w:val="21"/>
              </w:rPr>
            </w:pPr>
          </w:p>
        </w:tc>
        <w:tc>
          <w:tcPr>
            <w:tcW w:w="1134" w:type="dxa"/>
            <w:vMerge w:val="continue"/>
            <w:vAlign w:val="center"/>
          </w:tcPr>
          <w:p>
            <w:pPr>
              <w:widowControl/>
              <w:rPr>
                <w:rFonts w:ascii="宋体" w:hAnsi="宋体" w:cs="宋体"/>
                <w:color w:val="000000"/>
                <w:kern w:val="0"/>
                <w:szCs w:val="21"/>
              </w:rPr>
            </w:pPr>
          </w:p>
        </w:tc>
        <w:tc>
          <w:tcPr>
            <w:tcW w:w="1843" w:type="dxa"/>
            <w:vMerge w:val="continue"/>
            <w:vAlign w:val="center"/>
          </w:tcPr>
          <w:p>
            <w:pPr>
              <w:widowControl/>
              <w:rPr>
                <w:rFonts w:ascii="宋体" w:hAnsi="宋体" w:cs="宋体"/>
                <w:color w:val="000000"/>
                <w:kern w:val="0"/>
                <w:szCs w:val="21"/>
              </w:rPr>
            </w:pPr>
          </w:p>
        </w:tc>
        <w:tc>
          <w:tcPr>
            <w:tcW w:w="850" w:type="dxa"/>
            <w:vMerge w:val="continue"/>
            <w:vAlign w:val="center"/>
          </w:tcPr>
          <w:p>
            <w:pPr>
              <w:widowControl/>
              <w:jc w:val="right"/>
              <w:rPr>
                <w:rFonts w:ascii="宋体" w:hAnsi="宋体" w:cs="宋体"/>
                <w:color w:val="000000"/>
                <w:kern w:val="0"/>
                <w:szCs w:val="21"/>
              </w:rPr>
            </w:pPr>
          </w:p>
        </w:tc>
        <w:tc>
          <w:tcPr>
            <w:tcW w:w="850" w:type="dxa"/>
            <w:vMerge w:val="continue"/>
            <w:vAlign w:val="center"/>
          </w:tcPr>
          <w:p>
            <w:pPr>
              <w:widowControl/>
              <w:jc w:val="right"/>
              <w:rPr>
                <w:rFonts w:ascii="宋体" w:hAnsi="宋体" w:cs="宋体"/>
                <w:color w:val="000000"/>
                <w:kern w:val="0"/>
                <w:szCs w:val="21"/>
              </w:rPr>
            </w:pPr>
          </w:p>
        </w:tc>
        <w:tc>
          <w:tcPr>
            <w:tcW w:w="850" w:type="dxa"/>
            <w:vMerge w:val="continue"/>
            <w:vAlign w:val="center"/>
          </w:tcPr>
          <w:p>
            <w:pPr>
              <w:widowControl/>
              <w:jc w:val="right"/>
              <w:rPr>
                <w:rFonts w:ascii="宋体" w:hAnsi="宋体" w:cs="宋体"/>
                <w:color w:val="000000"/>
                <w:kern w:val="0"/>
                <w:szCs w:val="21"/>
              </w:rPr>
            </w:pPr>
          </w:p>
        </w:tc>
        <w:tc>
          <w:tcPr>
            <w:tcW w:w="850" w:type="dxa"/>
            <w:vMerge w:val="continue"/>
            <w:vAlign w:val="center"/>
          </w:tcPr>
          <w:p>
            <w:pPr>
              <w:widowControl/>
              <w:jc w:val="right"/>
              <w:rPr>
                <w:rFonts w:ascii="宋体" w:hAnsi="宋体" w:cs="宋体"/>
                <w:color w:val="000000"/>
                <w:kern w:val="0"/>
                <w:szCs w:val="21"/>
              </w:rPr>
            </w:pPr>
          </w:p>
        </w:tc>
        <w:tc>
          <w:tcPr>
            <w:tcW w:w="850" w:type="dxa"/>
            <w:gridSpan w:val="2"/>
            <w:vMerge w:val="continue"/>
            <w:vAlign w:val="center"/>
          </w:tcPr>
          <w:p>
            <w:pPr>
              <w:widowControl/>
              <w:jc w:val="right"/>
              <w:rPr>
                <w:rFonts w:ascii="宋体" w:hAnsi="宋体" w:cs="宋体"/>
                <w:color w:val="000000"/>
                <w:kern w:val="0"/>
                <w:szCs w:val="21"/>
              </w:rPr>
            </w:pPr>
          </w:p>
        </w:tc>
        <w:tc>
          <w:tcPr>
            <w:tcW w:w="995" w:type="dxa"/>
            <w:vMerge w:val="continue"/>
            <w:vAlign w:val="center"/>
          </w:tcPr>
          <w:p>
            <w:pPr>
              <w:widowControl/>
              <w:jc w:val="right"/>
              <w:rPr>
                <w:rFonts w:ascii="宋体" w:hAnsi="宋体" w:cs="宋体"/>
                <w:color w:val="000000"/>
                <w:kern w:val="0"/>
                <w:szCs w:val="21"/>
              </w:rPr>
            </w:pPr>
          </w:p>
        </w:tc>
        <w:tc>
          <w:tcPr>
            <w:tcW w:w="853" w:type="dxa"/>
            <w:vMerge w:val="continue"/>
            <w:vAlign w:val="center"/>
          </w:tcPr>
          <w:p>
            <w:pPr>
              <w:widowControl/>
              <w:jc w:val="right"/>
              <w:rPr>
                <w:rFonts w:ascii="宋体" w:hAnsi="宋体" w:cs="宋体"/>
                <w:color w:val="000000"/>
                <w:kern w:val="0"/>
                <w:szCs w:val="21"/>
              </w:rPr>
            </w:pPr>
          </w:p>
        </w:tc>
        <w:tc>
          <w:tcPr>
            <w:tcW w:w="737" w:type="dxa"/>
            <w:vMerge w:val="continue"/>
            <w:vAlign w:val="center"/>
          </w:tcPr>
          <w:p>
            <w:pPr>
              <w:widowControl/>
              <w:jc w:val="right"/>
              <w:rPr>
                <w:rFonts w:ascii="宋体" w:hAnsi="宋体" w:cs="宋体"/>
                <w:color w:val="000000"/>
                <w:kern w:val="0"/>
                <w:szCs w:val="21"/>
              </w:rPr>
            </w:pPr>
          </w:p>
        </w:tc>
      </w:tr>
      <w:tr>
        <w:trPr>
          <w:cantSplit/>
          <w:trHeight w:val="312" w:hRule="atLeast"/>
          <w:jc w:val="center"/>
        </w:trPr>
        <w:tc>
          <w:tcPr>
            <w:tcW w:w="3227"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w:t>
            </w:r>
          </w:p>
        </w:tc>
        <w:tc>
          <w:tcPr>
            <w:tcW w:w="1135" w:type="dxa"/>
            <w:vAlign w:val="center"/>
          </w:tcPr>
          <w:p>
            <w:pPr>
              <w:widowControl/>
              <w:rPr>
                <w:rFonts w:ascii="宋体" w:hAnsi="宋体" w:cs="宋体"/>
                <w:color w:val="000000"/>
                <w:kern w:val="0"/>
                <w:szCs w:val="21"/>
              </w:rPr>
            </w:pPr>
            <w:r>
              <w:rPr>
                <w:rFonts w:hint="eastAsia" w:ascii="宋体" w:hAnsi="宋体" w:cs="宋体"/>
                <w:color w:val="000000"/>
                <w:kern w:val="0"/>
                <w:szCs w:val="21"/>
              </w:rPr>
              <w:t>行政机关</w:t>
            </w:r>
          </w:p>
        </w:tc>
        <w:tc>
          <w:tcPr>
            <w:tcW w:w="1134" w:type="dxa"/>
            <w:vAlign w:val="center"/>
          </w:tcPr>
          <w:p>
            <w:pPr>
              <w:widowControl/>
              <w:rPr>
                <w:rFonts w:ascii="宋体" w:hAnsi="宋体" w:cs="宋体"/>
                <w:color w:val="000000"/>
                <w:kern w:val="0"/>
                <w:szCs w:val="21"/>
              </w:rPr>
            </w:pPr>
            <w:r>
              <w:rPr>
                <w:rFonts w:hint="eastAsia" w:ascii="宋体" w:hAnsi="宋体" w:cs="宋体"/>
                <w:color w:val="000000"/>
                <w:kern w:val="0"/>
                <w:szCs w:val="21"/>
              </w:rPr>
              <w:t>正处级</w:t>
            </w:r>
          </w:p>
        </w:tc>
        <w:tc>
          <w:tcPr>
            <w:tcW w:w="1843" w:type="dxa"/>
            <w:vAlign w:val="center"/>
          </w:tcPr>
          <w:p>
            <w:pPr>
              <w:widowControl/>
              <w:rPr>
                <w:rFonts w:ascii="宋体" w:hAnsi="宋体" w:cs="宋体"/>
                <w:color w:val="000000"/>
                <w:kern w:val="0"/>
                <w:szCs w:val="21"/>
              </w:rPr>
            </w:pPr>
            <w:r>
              <w:rPr>
                <w:rFonts w:hint="eastAsia" w:ascii="宋体" w:hAnsi="宋体" w:cs="宋体"/>
                <w:color w:val="000000"/>
                <w:kern w:val="0"/>
                <w:szCs w:val="21"/>
              </w:rPr>
              <w:t>财政拨款</w:t>
            </w: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3</w:t>
            </w: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45</w:t>
            </w:r>
          </w:p>
        </w:tc>
        <w:tc>
          <w:tcPr>
            <w:tcW w:w="850" w:type="dxa"/>
            <w:vAlign w:val="center"/>
          </w:tcPr>
          <w:p>
            <w:pPr>
              <w:widowControl/>
              <w:jc w:val="right"/>
              <w:rPr>
                <w:rFonts w:ascii="宋体" w:hAnsi="宋体" w:cs="宋体"/>
                <w:color w:val="000000"/>
                <w:kern w:val="0"/>
                <w:szCs w:val="21"/>
              </w:rPr>
            </w:pP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35</w:t>
            </w:r>
          </w:p>
        </w:tc>
        <w:tc>
          <w:tcPr>
            <w:tcW w:w="850" w:type="dxa"/>
            <w:gridSpan w:val="2"/>
            <w:vAlign w:val="center"/>
          </w:tcPr>
          <w:p>
            <w:pPr>
              <w:widowControl/>
              <w:jc w:val="right"/>
              <w:rPr>
                <w:rFonts w:ascii="宋体" w:hAnsi="宋体" w:cs="宋体"/>
                <w:color w:val="000000"/>
                <w:kern w:val="0"/>
                <w:szCs w:val="21"/>
              </w:rPr>
            </w:pPr>
          </w:p>
        </w:tc>
        <w:tc>
          <w:tcPr>
            <w:tcW w:w="995" w:type="dxa"/>
            <w:vAlign w:val="center"/>
          </w:tcPr>
          <w:p>
            <w:pPr>
              <w:widowControl/>
              <w:jc w:val="right"/>
              <w:rPr>
                <w:rFonts w:ascii="宋体" w:hAnsi="宋体" w:cs="宋体"/>
                <w:color w:val="000000"/>
                <w:kern w:val="0"/>
                <w:szCs w:val="21"/>
              </w:rPr>
            </w:pPr>
          </w:p>
        </w:tc>
        <w:tc>
          <w:tcPr>
            <w:tcW w:w="853" w:type="dxa"/>
            <w:vAlign w:val="center"/>
          </w:tcPr>
          <w:p>
            <w:pPr>
              <w:widowControl/>
              <w:jc w:val="right"/>
              <w:rPr>
                <w:rFonts w:ascii="宋体" w:hAnsi="宋体" w:cs="宋体"/>
                <w:color w:val="000000"/>
                <w:kern w:val="0"/>
                <w:szCs w:val="21"/>
              </w:rPr>
            </w:pPr>
            <w:r>
              <w:rPr>
                <w:rFonts w:ascii="宋体" w:hAnsi="宋体" w:cs="宋体"/>
                <w:color w:val="000000"/>
                <w:kern w:val="0"/>
                <w:szCs w:val="21"/>
              </w:rPr>
              <w:t>1</w:t>
            </w:r>
          </w:p>
        </w:tc>
        <w:tc>
          <w:tcPr>
            <w:tcW w:w="737" w:type="dxa"/>
            <w:vAlign w:val="center"/>
          </w:tcPr>
          <w:p>
            <w:pPr>
              <w:widowControl/>
              <w:jc w:val="right"/>
              <w:rPr>
                <w:rFonts w:ascii="宋体" w:hAnsi="宋体" w:cs="宋体"/>
                <w:color w:val="000000"/>
                <w:kern w:val="0"/>
                <w:szCs w:val="21"/>
              </w:rPr>
            </w:pPr>
            <w:r>
              <w:rPr>
                <w:rFonts w:ascii="宋体" w:hAnsi="宋体" w:cs="宋体"/>
                <w:color w:val="000000"/>
                <w:kern w:val="0"/>
                <w:szCs w:val="21"/>
              </w:rPr>
              <w:t>61</w:t>
            </w:r>
          </w:p>
        </w:tc>
      </w:tr>
      <w:tr>
        <w:trPr>
          <w:cantSplit/>
          <w:trHeight w:val="312" w:hRule="atLeast"/>
          <w:jc w:val="center"/>
        </w:trPr>
        <w:tc>
          <w:tcPr>
            <w:tcW w:w="3227"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1135" w:type="dxa"/>
            <w:vAlign w:val="center"/>
          </w:tcPr>
          <w:p>
            <w:pPr>
              <w:widowControl/>
              <w:rPr>
                <w:rFonts w:ascii="宋体" w:hAnsi="宋体" w:cs="宋体"/>
                <w:color w:val="000000"/>
                <w:kern w:val="0"/>
                <w:szCs w:val="21"/>
              </w:rPr>
            </w:pPr>
            <w:r>
              <w:rPr>
                <w:rFonts w:hint="eastAsia" w:ascii="宋体" w:hAnsi="宋体" w:cs="宋体"/>
                <w:color w:val="000000"/>
                <w:kern w:val="0"/>
                <w:szCs w:val="21"/>
              </w:rPr>
              <w:t>参公单位</w:t>
            </w:r>
          </w:p>
        </w:tc>
        <w:tc>
          <w:tcPr>
            <w:tcW w:w="1134" w:type="dxa"/>
            <w:vAlign w:val="center"/>
          </w:tcPr>
          <w:p>
            <w:pPr>
              <w:widowControl/>
              <w:rPr>
                <w:rFonts w:ascii="宋体" w:hAnsi="宋体" w:cs="宋体"/>
                <w:color w:val="000000"/>
                <w:kern w:val="0"/>
                <w:szCs w:val="21"/>
              </w:rPr>
            </w:pPr>
            <w:r>
              <w:rPr>
                <w:rFonts w:hint="eastAsia" w:ascii="宋体" w:hAnsi="宋体" w:cs="宋体"/>
                <w:color w:val="000000"/>
                <w:kern w:val="0"/>
                <w:szCs w:val="21"/>
              </w:rPr>
              <w:t>副处级</w:t>
            </w:r>
          </w:p>
        </w:tc>
        <w:tc>
          <w:tcPr>
            <w:tcW w:w="1843" w:type="dxa"/>
            <w:vAlign w:val="center"/>
          </w:tcPr>
          <w:p>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1</w:t>
            </w: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33</w:t>
            </w:r>
          </w:p>
        </w:tc>
        <w:tc>
          <w:tcPr>
            <w:tcW w:w="850" w:type="dxa"/>
            <w:vAlign w:val="center"/>
          </w:tcPr>
          <w:p>
            <w:pPr>
              <w:widowControl/>
              <w:jc w:val="right"/>
              <w:rPr>
                <w:rFonts w:ascii="宋体" w:hAnsi="宋体" w:cs="宋体"/>
                <w:color w:val="000000"/>
                <w:kern w:val="0"/>
                <w:szCs w:val="21"/>
              </w:rPr>
            </w:pP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24</w:t>
            </w:r>
          </w:p>
        </w:tc>
        <w:tc>
          <w:tcPr>
            <w:tcW w:w="850" w:type="dxa"/>
            <w:gridSpan w:val="2"/>
            <w:vAlign w:val="center"/>
          </w:tcPr>
          <w:p>
            <w:pPr>
              <w:widowControl/>
              <w:jc w:val="right"/>
              <w:rPr>
                <w:rFonts w:ascii="宋体" w:hAnsi="宋体" w:cs="宋体"/>
                <w:color w:val="000000"/>
                <w:kern w:val="0"/>
                <w:szCs w:val="21"/>
              </w:rPr>
            </w:pPr>
          </w:p>
        </w:tc>
        <w:tc>
          <w:tcPr>
            <w:tcW w:w="995" w:type="dxa"/>
            <w:vAlign w:val="center"/>
          </w:tcPr>
          <w:p>
            <w:pPr>
              <w:widowControl/>
              <w:jc w:val="right"/>
              <w:rPr>
                <w:rFonts w:ascii="宋体" w:hAnsi="宋体" w:cs="宋体"/>
                <w:color w:val="000000"/>
                <w:kern w:val="0"/>
                <w:szCs w:val="21"/>
              </w:rPr>
            </w:pPr>
          </w:p>
        </w:tc>
        <w:tc>
          <w:tcPr>
            <w:tcW w:w="853" w:type="dxa"/>
            <w:vAlign w:val="center"/>
          </w:tcPr>
          <w:p>
            <w:pPr>
              <w:widowControl/>
              <w:jc w:val="right"/>
              <w:rPr>
                <w:rFonts w:ascii="宋体" w:hAnsi="宋体" w:cs="宋体"/>
                <w:color w:val="000000"/>
                <w:kern w:val="0"/>
                <w:szCs w:val="21"/>
              </w:rPr>
            </w:pPr>
          </w:p>
        </w:tc>
        <w:tc>
          <w:tcPr>
            <w:tcW w:w="737" w:type="dxa"/>
            <w:vAlign w:val="center"/>
          </w:tcPr>
          <w:p>
            <w:pPr>
              <w:widowControl/>
              <w:jc w:val="right"/>
              <w:rPr>
                <w:rFonts w:ascii="宋体" w:hAnsi="宋体" w:cs="宋体"/>
                <w:color w:val="000000"/>
                <w:kern w:val="0"/>
                <w:szCs w:val="21"/>
              </w:rPr>
            </w:pPr>
          </w:p>
        </w:tc>
      </w:tr>
      <w:tr>
        <w:trPr>
          <w:cantSplit/>
          <w:trHeight w:val="312" w:hRule="atLeast"/>
          <w:jc w:val="center"/>
        </w:trPr>
        <w:tc>
          <w:tcPr>
            <w:tcW w:w="3227"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唐山市统计局数据管理中心</w:t>
            </w:r>
          </w:p>
        </w:tc>
        <w:tc>
          <w:tcPr>
            <w:tcW w:w="1135" w:type="dxa"/>
            <w:vAlign w:val="center"/>
          </w:tcPr>
          <w:p>
            <w:pPr>
              <w:widowControl/>
              <w:rPr>
                <w:rFonts w:ascii="宋体" w:hAnsi="宋体" w:cs="宋体"/>
                <w:color w:val="000000"/>
                <w:kern w:val="0"/>
                <w:szCs w:val="21"/>
              </w:rPr>
            </w:pPr>
            <w:r>
              <w:rPr>
                <w:rFonts w:hint="eastAsia" w:ascii="宋体" w:hAnsi="宋体" w:cs="宋体"/>
                <w:color w:val="000000"/>
                <w:kern w:val="0"/>
                <w:szCs w:val="21"/>
              </w:rPr>
              <w:t>事业单位</w:t>
            </w:r>
          </w:p>
        </w:tc>
        <w:tc>
          <w:tcPr>
            <w:tcW w:w="1134" w:type="dxa"/>
            <w:vAlign w:val="center"/>
          </w:tcPr>
          <w:p>
            <w:pPr>
              <w:widowControl/>
              <w:rPr>
                <w:rFonts w:ascii="宋体" w:hAnsi="宋体" w:cs="宋体"/>
                <w:color w:val="000000"/>
                <w:kern w:val="0"/>
                <w:szCs w:val="21"/>
              </w:rPr>
            </w:pPr>
            <w:r>
              <w:rPr>
                <w:rFonts w:hint="eastAsia" w:ascii="宋体" w:hAnsi="宋体" w:cs="宋体"/>
                <w:color w:val="000000"/>
                <w:kern w:val="0"/>
                <w:szCs w:val="21"/>
              </w:rPr>
              <w:t>正科级</w:t>
            </w:r>
          </w:p>
        </w:tc>
        <w:tc>
          <w:tcPr>
            <w:tcW w:w="1843" w:type="dxa"/>
            <w:vAlign w:val="center"/>
          </w:tcPr>
          <w:p>
            <w:pPr>
              <w:widowControl/>
              <w:rPr>
                <w:rFonts w:ascii="宋体" w:hAnsi="宋体" w:cs="宋体"/>
                <w:color w:val="000000"/>
                <w:kern w:val="0"/>
                <w:szCs w:val="21"/>
              </w:rPr>
            </w:pPr>
            <w:r>
              <w:rPr>
                <w:rFonts w:hint="eastAsia" w:ascii="宋体" w:hAnsi="宋体" w:cs="宋体"/>
                <w:color w:val="000000"/>
                <w:kern w:val="0"/>
                <w:szCs w:val="21"/>
              </w:rPr>
              <w:t>财政性资金基本保证经费</w:t>
            </w: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1</w:t>
            </w:r>
          </w:p>
        </w:tc>
        <w:tc>
          <w:tcPr>
            <w:tcW w:w="850" w:type="dxa"/>
            <w:vAlign w:val="center"/>
          </w:tcPr>
          <w:p>
            <w:pPr>
              <w:widowControl/>
              <w:jc w:val="right"/>
              <w:rPr>
                <w:rFonts w:ascii="宋体" w:hAnsi="宋体" w:cs="宋体"/>
                <w:color w:val="000000"/>
                <w:kern w:val="0"/>
                <w:szCs w:val="21"/>
              </w:rPr>
            </w:pP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11</w:t>
            </w:r>
          </w:p>
        </w:tc>
        <w:tc>
          <w:tcPr>
            <w:tcW w:w="850" w:type="dxa"/>
            <w:vAlign w:val="center"/>
          </w:tcPr>
          <w:p>
            <w:pPr>
              <w:widowControl/>
              <w:jc w:val="right"/>
              <w:rPr>
                <w:rFonts w:ascii="宋体" w:hAnsi="宋体" w:cs="宋体"/>
                <w:color w:val="000000"/>
                <w:kern w:val="0"/>
                <w:szCs w:val="21"/>
              </w:rPr>
            </w:pPr>
          </w:p>
        </w:tc>
        <w:tc>
          <w:tcPr>
            <w:tcW w:w="850"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10</w:t>
            </w:r>
          </w:p>
        </w:tc>
        <w:tc>
          <w:tcPr>
            <w:tcW w:w="995" w:type="dxa"/>
            <w:vAlign w:val="center"/>
          </w:tcPr>
          <w:p>
            <w:pPr>
              <w:widowControl/>
              <w:jc w:val="right"/>
              <w:rPr>
                <w:rFonts w:ascii="宋体" w:hAnsi="宋体" w:cs="宋体"/>
                <w:color w:val="000000"/>
                <w:kern w:val="0"/>
                <w:szCs w:val="21"/>
              </w:rPr>
            </w:pPr>
          </w:p>
        </w:tc>
        <w:tc>
          <w:tcPr>
            <w:tcW w:w="853" w:type="dxa"/>
            <w:vAlign w:val="center"/>
          </w:tcPr>
          <w:p>
            <w:pPr>
              <w:widowControl/>
              <w:jc w:val="right"/>
              <w:rPr>
                <w:rFonts w:ascii="宋体" w:hAnsi="宋体" w:cs="宋体"/>
                <w:color w:val="000000"/>
                <w:kern w:val="0"/>
                <w:szCs w:val="21"/>
              </w:rPr>
            </w:pPr>
          </w:p>
        </w:tc>
        <w:tc>
          <w:tcPr>
            <w:tcW w:w="737" w:type="dxa"/>
            <w:vAlign w:val="center"/>
          </w:tcPr>
          <w:p>
            <w:pPr>
              <w:widowControl/>
              <w:jc w:val="right"/>
              <w:rPr>
                <w:rFonts w:ascii="宋体" w:hAnsi="宋体" w:cs="宋体"/>
                <w:color w:val="000000"/>
                <w:kern w:val="0"/>
                <w:szCs w:val="21"/>
              </w:rPr>
            </w:pPr>
          </w:p>
        </w:tc>
      </w:tr>
      <w:tr>
        <w:trPr>
          <w:cantSplit/>
          <w:trHeight w:val="312" w:hRule="atLeast"/>
          <w:jc w:val="center"/>
        </w:trPr>
        <w:tc>
          <w:tcPr>
            <w:tcW w:w="3227" w:type="dxa"/>
            <w:vAlign w:val="center"/>
          </w:tcPr>
          <w:p>
            <w:pPr>
              <w:widowControl/>
              <w:rPr>
                <w:rFonts w:ascii="宋体" w:hAnsi="宋体" w:cs="宋体"/>
                <w:color w:val="000000"/>
                <w:kern w:val="0"/>
                <w:szCs w:val="21"/>
              </w:rPr>
            </w:pPr>
            <w:r>
              <w:rPr>
                <w:rFonts w:ascii="宋体" w:hAnsi="宋体" w:cs="宋体"/>
                <w:color w:val="000000"/>
                <w:kern w:val="0"/>
                <w:szCs w:val="21"/>
              </w:rPr>
              <w:t xml:space="preserve">    合计</w:t>
            </w:r>
          </w:p>
        </w:tc>
        <w:tc>
          <w:tcPr>
            <w:tcW w:w="1135" w:type="dxa"/>
            <w:vAlign w:val="center"/>
          </w:tcPr>
          <w:p>
            <w:pPr>
              <w:widowControl/>
              <w:rPr>
                <w:rFonts w:ascii="宋体" w:hAnsi="宋体" w:cs="宋体"/>
                <w:color w:val="000000"/>
                <w:kern w:val="0"/>
                <w:szCs w:val="21"/>
              </w:rPr>
            </w:pPr>
          </w:p>
        </w:tc>
        <w:tc>
          <w:tcPr>
            <w:tcW w:w="1134" w:type="dxa"/>
            <w:vAlign w:val="center"/>
          </w:tcPr>
          <w:p>
            <w:pPr>
              <w:widowControl/>
              <w:rPr>
                <w:rFonts w:ascii="宋体" w:hAnsi="宋体" w:cs="宋体"/>
                <w:color w:val="000000"/>
                <w:kern w:val="0"/>
                <w:szCs w:val="21"/>
              </w:rPr>
            </w:pPr>
          </w:p>
        </w:tc>
        <w:tc>
          <w:tcPr>
            <w:tcW w:w="1843" w:type="dxa"/>
            <w:vAlign w:val="center"/>
          </w:tcPr>
          <w:p>
            <w:pPr>
              <w:widowControl/>
              <w:rPr>
                <w:rFonts w:ascii="宋体" w:hAnsi="宋体" w:cs="宋体"/>
                <w:color w:val="000000"/>
                <w:kern w:val="0"/>
                <w:szCs w:val="21"/>
              </w:rPr>
            </w:pP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5</w:t>
            </w: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78</w:t>
            </w: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11</w:t>
            </w:r>
          </w:p>
        </w:tc>
        <w:tc>
          <w:tcPr>
            <w:tcW w:w="850" w:type="dxa"/>
            <w:vAlign w:val="center"/>
          </w:tcPr>
          <w:p>
            <w:pPr>
              <w:widowControl/>
              <w:jc w:val="right"/>
              <w:rPr>
                <w:rFonts w:ascii="宋体" w:hAnsi="宋体" w:cs="宋体"/>
                <w:color w:val="000000"/>
                <w:kern w:val="0"/>
                <w:szCs w:val="21"/>
              </w:rPr>
            </w:pPr>
            <w:r>
              <w:rPr>
                <w:rFonts w:ascii="宋体" w:hAnsi="宋体" w:cs="宋体"/>
                <w:color w:val="000000"/>
                <w:kern w:val="0"/>
                <w:szCs w:val="21"/>
              </w:rPr>
              <w:t>59</w:t>
            </w:r>
          </w:p>
        </w:tc>
        <w:tc>
          <w:tcPr>
            <w:tcW w:w="850"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10</w:t>
            </w:r>
          </w:p>
        </w:tc>
        <w:tc>
          <w:tcPr>
            <w:tcW w:w="995" w:type="dxa"/>
            <w:vAlign w:val="center"/>
          </w:tcPr>
          <w:p>
            <w:pPr>
              <w:widowControl/>
              <w:jc w:val="right"/>
              <w:rPr>
                <w:rFonts w:ascii="宋体" w:hAnsi="宋体" w:cs="宋体"/>
                <w:color w:val="000000"/>
                <w:kern w:val="0"/>
                <w:szCs w:val="21"/>
              </w:rPr>
            </w:pPr>
          </w:p>
        </w:tc>
        <w:tc>
          <w:tcPr>
            <w:tcW w:w="853" w:type="dxa"/>
            <w:vAlign w:val="center"/>
          </w:tcPr>
          <w:p>
            <w:pPr>
              <w:widowControl/>
              <w:jc w:val="right"/>
              <w:rPr>
                <w:rFonts w:ascii="宋体" w:hAnsi="宋体" w:cs="宋体"/>
                <w:color w:val="000000"/>
                <w:kern w:val="0"/>
                <w:szCs w:val="21"/>
              </w:rPr>
            </w:pPr>
            <w:r>
              <w:rPr>
                <w:rFonts w:ascii="宋体" w:hAnsi="宋体" w:cs="宋体"/>
                <w:color w:val="000000"/>
                <w:kern w:val="0"/>
                <w:szCs w:val="21"/>
              </w:rPr>
              <w:t>1</w:t>
            </w:r>
          </w:p>
        </w:tc>
        <w:tc>
          <w:tcPr>
            <w:tcW w:w="737" w:type="dxa"/>
            <w:vAlign w:val="center"/>
          </w:tcPr>
          <w:p>
            <w:pPr>
              <w:widowControl/>
              <w:jc w:val="right"/>
              <w:rPr>
                <w:rFonts w:ascii="宋体" w:hAnsi="宋体" w:cs="宋体"/>
                <w:color w:val="000000"/>
                <w:kern w:val="0"/>
                <w:szCs w:val="21"/>
              </w:rPr>
            </w:pPr>
            <w:r>
              <w:rPr>
                <w:rFonts w:ascii="宋体" w:hAnsi="宋体" w:cs="宋体"/>
                <w:color w:val="000000"/>
                <w:kern w:val="0"/>
                <w:szCs w:val="21"/>
              </w:rPr>
              <w:t>61</w:t>
            </w:r>
          </w:p>
        </w:tc>
      </w:tr>
    </w:tbl>
    <w:p/>
    <w:p>
      <w:pPr>
        <w:jc w:val="left"/>
        <w:sectPr>
          <w:headerReference r:id="rId18" w:type="default"/>
          <w:pgSz w:w="16838" w:h="11906" w:orient="landscape"/>
          <w:pgMar w:top="1800" w:right="1440" w:bottom="1800" w:left="1440" w:header="851" w:footer="992" w:gutter="0"/>
          <w:cols w:space="720" w:num="1"/>
          <w:docGrid w:type="lines" w:linePitch="312"/>
        </w:sectPr>
      </w:pPr>
    </w:p>
    <w:p>
      <w:pPr>
        <w:pStyle w:val="10"/>
      </w:pPr>
      <w:bookmarkStart w:id="13" w:name="_Toc476153811"/>
      <w:r>
        <w:rPr>
          <w:rFonts w:hint="eastAsia"/>
        </w:rPr>
        <w:t>部门专项公用经费项目支出一览表</w:t>
      </w:r>
      <w:bookmarkEnd w:id="13"/>
      <w:r>
        <w:rPr>
          <w:rFonts w:hint="eastAsia"/>
        </w:rPr>
        <w:t xml:space="preserve">                        </w:t>
      </w:r>
      <w:r>
        <w:rPr>
          <w:sz w:val="24"/>
        </w:rPr>
        <w:t xml:space="preserve">      </w:t>
      </w:r>
    </w:p>
    <w:tbl>
      <w:tblPr>
        <w:tblW w:w="14192" w:type="dxa"/>
        <w:jc w:val="center"/>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
        <w:gridCol w:w="2802"/>
        <w:gridCol w:w="4536"/>
        <w:gridCol w:w="1417"/>
        <w:gridCol w:w="1304"/>
        <w:gridCol w:w="113"/>
        <w:gridCol w:w="1417"/>
        <w:gridCol w:w="1281"/>
        <w:gridCol w:w="1304"/>
      </w:tblGrid>
      <w:tr>
        <w:trPr>
          <w:cantSplit/>
          <w:trHeight w:val="270" w:hRule="atLeast"/>
          <w:tblHeader/>
          <w:jc w:val="center"/>
        </w:trPr>
        <w:tc>
          <w:tcPr>
            <w:tcW w:w="10077" w:type="dxa"/>
            <w:gridSpan w:val="5"/>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212唐山市统计局</w:t>
            </w:r>
            <w:r>
              <w:rPr>
                <w:rFonts w:hint="eastAsia" w:ascii="宋体" w:hAnsi="宋体" w:cs="宋体"/>
                <w:color w:val="000000"/>
                <w:kern w:val="0"/>
                <w:sz w:val="22"/>
              </w:rPr>
              <w:t>　</w:t>
            </w:r>
          </w:p>
        </w:tc>
        <w:tc>
          <w:tcPr>
            <w:tcW w:w="4115" w:type="dxa"/>
            <w:gridSpan w:val="4"/>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270" w:hRule="atLeast"/>
          <w:tblHeader/>
          <w:jc w:val="center"/>
        </w:trPr>
        <w:tc>
          <w:tcPr>
            <w:tcW w:w="2802"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单位名称</w:t>
            </w:r>
          </w:p>
        </w:tc>
        <w:tc>
          <w:tcPr>
            <w:tcW w:w="453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6836" w:type="dxa"/>
            <w:gridSpan w:val="6"/>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jc w:val="center"/>
              <w:rPr>
                <w:rFonts w:ascii="黑体" w:hAnsi="黑体" w:eastAsia="黑体" w:cs="宋体"/>
                <w:b/>
                <w:bCs/>
                <w:color w:val="000000"/>
                <w:kern w:val="0"/>
                <w:szCs w:val="21"/>
              </w:rPr>
            </w:pPr>
          </w:p>
        </w:tc>
        <w:tc>
          <w:tcPr>
            <w:tcW w:w="4536" w:type="dxa"/>
            <w:vMerge w:val="continue"/>
            <w:vAlign w:val="center"/>
          </w:tcPr>
          <w:p>
            <w:pPr>
              <w:widowControl/>
              <w:jc w:val="center"/>
              <w:rPr>
                <w:rFonts w:ascii="黑体" w:hAnsi="黑体" w:eastAsia="黑体" w:cs="宋体"/>
                <w:b/>
                <w:bCs/>
                <w:color w:val="000000"/>
                <w:kern w:val="0"/>
                <w:szCs w:val="21"/>
              </w:rPr>
            </w:pPr>
          </w:p>
        </w:tc>
        <w:tc>
          <w:tcPr>
            <w:tcW w:w="1417"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合计</w:t>
            </w:r>
          </w:p>
        </w:tc>
        <w:tc>
          <w:tcPr>
            <w:tcW w:w="1417" w:type="dxa"/>
            <w:gridSpan w:val="2"/>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一般公共预算拨款安排</w:t>
            </w:r>
          </w:p>
        </w:tc>
        <w:tc>
          <w:tcPr>
            <w:tcW w:w="1417"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政府性基金预算拨款安排</w:t>
            </w:r>
          </w:p>
        </w:tc>
        <w:tc>
          <w:tcPr>
            <w:tcW w:w="1281"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国有资本经营预算拨款安排</w:t>
            </w:r>
          </w:p>
        </w:tc>
        <w:tc>
          <w:tcPr>
            <w:tcW w:w="1304"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jc w:val="center"/>
              <w:rPr>
                <w:rFonts w:ascii="黑体" w:hAnsi="黑体" w:eastAsia="黑体" w:cs="宋体"/>
                <w:b/>
                <w:bCs/>
                <w:color w:val="000000"/>
                <w:kern w:val="0"/>
                <w:szCs w:val="21"/>
              </w:rPr>
            </w:pPr>
          </w:p>
        </w:tc>
        <w:tc>
          <w:tcPr>
            <w:tcW w:w="4536" w:type="dxa"/>
            <w:vMerge w:val="continue"/>
            <w:vAlign w:val="center"/>
          </w:tcPr>
          <w:p>
            <w:pPr>
              <w:widowControl/>
              <w:jc w:val="center"/>
              <w:rPr>
                <w:rFonts w:ascii="黑体" w:hAnsi="黑体" w:eastAsia="黑体" w:cs="宋体"/>
                <w:b/>
                <w:bCs/>
                <w:color w:val="000000"/>
                <w:kern w:val="0"/>
                <w:szCs w:val="21"/>
              </w:rPr>
            </w:pPr>
          </w:p>
        </w:tc>
        <w:tc>
          <w:tcPr>
            <w:tcW w:w="1417" w:type="dxa"/>
            <w:vMerge w:val="continue"/>
            <w:vAlign w:val="center"/>
          </w:tcPr>
          <w:p>
            <w:pPr>
              <w:widowControl/>
              <w:jc w:val="center"/>
              <w:rPr>
                <w:rFonts w:ascii="黑体" w:hAnsi="黑体" w:eastAsia="黑体" w:cs="宋体"/>
                <w:b/>
                <w:bCs/>
                <w:color w:val="000000"/>
                <w:kern w:val="0"/>
                <w:szCs w:val="21"/>
              </w:rPr>
            </w:pPr>
          </w:p>
        </w:tc>
        <w:tc>
          <w:tcPr>
            <w:tcW w:w="1417" w:type="dxa"/>
            <w:gridSpan w:val="2"/>
            <w:vMerge w:val="continue"/>
            <w:vAlign w:val="center"/>
          </w:tcPr>
          <w:p>
            <w:pPr>
              <w:widowControl/>
              <w:jc w:val="center"/>
              <w:rPr>
                <w:rFonts w:ascii="黑体" w:hAnsi="黑体" w:eastAsia="黑体" w:cs="宋体"/>
                <w:b/>
                <w:bCs/>
                <w:color w:val="000000"/>
                <w:kern w:val="0"/>
                <w:szCs w:val="21"/>
              </w:rPr>
            </w:pPr>
          </w:p>
        </w:tc>
        <w:tc>
          <w:tcPr>
            <w:tcW w:w="1417" w:type="dxa"/>
            <w:vMerge w:val="continue"/>
            <w:vAlign w:val="center"/>
          </w:tcPr>
          <w:p>
            <w:pPr>
              <w:widowControl/>
              <w:jc w:val="center"/>
              <w:rPr>
                <w:rFonts w:ascii="黑体" w:hAnsi="黑体" w:eastAsia="黑体" w:cs="宋体"/>
                <w:b/>
                <w:bCs/>
                <w:color w:val="000000"/>
                <w:kern w:val="0"/>
                <w:szCs w:val="21"/>
              </w:rPr>
            </w:pPr>
          </w:p>
        </w:tc>
        <w:tc>
          <w:tcPr>
            <w:tcW w:w="1281" w:type="dxa"/>
            <w:vMerge w:val="continue"/>
            <w:vAlign w:val="center"/>
          </w:tcPr>
          <w:p>
            <w:pPr>
              <w:widowControl/>
              <w:jc w:val="center"/>
              <w:rPr>
                <w:rFonts w:ascii="黑体" w:hAnsi="黑体" w:eastAsia="黑体" w:cs="宋体"/>
                <w:b/>
                <w:bCs/>
                <w:color w:val="000000"/>
                <w:kern w:val="0"/>
                <w:szCs w:val="21"/>
              </w:rPr>
            </w:pPr>
          </w:p>
        </w:tc>
        <w:tc>
          <w:tcPr>
            <w:tcW w:w="1304" w:type="dxa"/>
            <w:vMerge w:val="continue"/>
            <w:vAlign w:val="center"/>
          </w:tcPr>
          <w:p>
            <w:pPr>
              <w:widowControl/>
              <w:jc w:val="center"/>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rPr>
                <w:rFonts w:ascii="宋体" w:hAnsi="宋体" w:cs="宋体"/>
                <w:color w:val="000000"/>
                <w:kern w:val="0"/>
                <w:szCs w:val="21"/>
              </w:rPr>
            </w:pPr>
          </w:p>
        </w:tc>
        <w:tc>
          <w:tcPr>
            <w:tcW w:w="4536" w:type="dxa"/>
            <w:vMerge w:val="continue"/>
            <w:vAlign w:val="center"/>
          </w:tcPr>
          <w:p>
            <w:pPr>
              <w:widowControl/>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281" w:type="dxa"/>
            <w:vMerge w:val="continue"/>
            <w:vAlign w:val="center"/>
          </w:tcPr>
          <w:p>
            <w:pPr>
              <w:widowControl/>
              <w:jc w:val="right"/>
              <w:rPr>
                <w:rFonts w:ascii="宋体" w:hAnsi="宋体" w:cs="宋体"/>
                <w:color w:val="000000"/>
                <w:kern w:val="0"/>
                <w:szCs w:val="21"/>
              </w:rPr>
            </w:pPr>
          </w:p>
        </w:tc>
        <w:tc>
          <w:tcPr>
            <w:tcW w:w="1304" w:type="dxa"/>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全市统计工作会</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3.68</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3.68</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统计职称考务工作培训费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统计系统年报培训会</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9.00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9.00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统计职称考务人员劳务费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新型农业经营主体统计调查培训</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规模以下工业抽样调查培训</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1.30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1.30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能源调查培训</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劳动力调查培训</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统计从业人员培训</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城镇低收入居民基本生活费用价格指数调查培训</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0.60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0.60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唐山市房地产网签价格统计调查培训</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唐山市粮食产量抽样调查培训</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新型农业经营主体统计调查印刷费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规模以下工业抽样调查印刷费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能源调查印刷费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劳动力调查印刷费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统计从业人员培训印刷费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城镇低收入居民基本生活费用价格指数调查印刷费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1.20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1.20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粮食产量抽样调查印刷费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3.15</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3.15</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统计局机关各项印刷费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29.50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29.50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唐山市粮食产量抽样调查</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能源调查</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劳动力调查</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城镇低收入居民基本生活费用价格指数调查</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各项调查的其他相关费用</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40.00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40.00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城乡一体化住户调查</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51.18</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51.18</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唐山市统计局数据管理中心</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数管中心全市统计系统数据库网络传输租费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25.36</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25.36</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ascii="宋体" w:hAnsi="宋体" w:cs="宋体"/>
                <w:color w:val="000000"/>
                <w:kern w:val="0"/>
                <w:szCs w:val="21"/>
              </w:rPr>
              <w:t xml:space="preserve"> 合计</w:t>
            </w:r>
          </w:p>
        </w:tc>
        <w:tc>
          <w:tcPr>
            <w:tcW w:w="4536" w:type="dxa"/>
            <w:vAlign w:val="center"/>
          </w:tcPr>
          <w:p>
            <w:pPr>
              <w:widowControl/>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215.97</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215.97</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bl>
    <w:p>
      <w:pPr>
        <w:spacing w:line="0" w:lineRule="atLeast"/>
      </w:pPr>
    </w:p>
    <w:p>
      <w:pPr>
        <w:jc w:val="left"/>
        <w:sectPr>
          <w:headerReference r:id="rId19" w:type="default"/>
          <w:pgSz w:w="16838" w:h="11906" w:orient="landscape"/>
          <w:pgMar w:top="1800" w:right="1440" w:bottom="1800" w:left="1440" w:header="851" w:footer="992" w:gutter="0"/>
          <w:cols w:space="720" w:num="1"/>
          <w:docGrid w:type="lines" w:linePitch="312"/>
        </w:sectPr>
      </w:pPr>
    </w:p>
    <w:p>
      <w:pPr>
        <w:pStyle w:val="10"/>
      </w:pPr>
      <w:bookmarkStart w:id="14" w:name="_Toc476153812"/>
      <w:r>
        <w:rPr>
          <w:rFonts w:hint="eastAsia"/>
        </w:rPr>
        <w:t>部门专项项目支出一览表</w:t>
      </w:r>
      <w:bookmarkEnd w:id="14"/>
      <w:r>
        <w:rPr>
          <w:rFonts w:hint="eastAsia"/>
        </w:rPr>
        <w:t xml:space="preserve">                        </w:t>
      </w:r>
      <w:r>
        <w:rPr>
          <w:sz w:val="24"/>
        </w:rPr>
        <w:t xml:space="preserve">      </w:t>
      </w:r>
    </w:p>
    <w:tbl>
      <w:tblPr>
        <w:tblW w:w="14192" w:type="dxa"/>
        <w:jc w:val="center"/>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
        <w:gridCol w:w="2802"/>
        <w:gridCol w:w="4536"/>
        <w:gridCol w:w="1417"/>
        <w:gridCol w:w="1304"/>
        <w:gridCol w:w="113"/>
        <w:gridCol w:w="1417"/>
        <w:gridCol w:w="1281"/>
        <w:gridCol w:w="1304"/>
      </w:tblGrid>
      <w:tr>
        <w:trPr>
          <w:cantSplit/>
          <w:trHeight w:val="270" w:hRule="atLeast"/>
          <w:tblHeader/>
          <w:jc w:val="center"/>
        </w:trPr>
        <w:tc>
          <w:tcPr>
            <w:tcW w:w="10077" w:type="dxa"/>
            <w:gridSpan w:val="5"/>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212唐山市统计局</w:t>
            </w:r>
            <w:r>
              <w:rPr>
                <w:rFonts w:hint="eastAsia" w:ascii="宋体" w:hAnsi="宋体" w:cs="宋体"/>
                <w:color w:val="000000"/>
                <w:kern w:val="0"/>
                <w:sz w:val="22"/>
              </w:rPr>
              <w:t>　</w:t>
            </w:r>
          </w:p>
        </w:tc>
        <w:tc>
          <w:tcPr>
            <w:tcW w:w="4115" w:type="dxa"/>
            <w:gridSpan w:val="4"/>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270" w:hRule="atLeast"/>
          <w:tblHeader/>
          <w:jc w:val="center"/>
        </w:trPr>
        <w:tc>
          <w:tcPr>
            <w:tcW w:w="2802"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单位名称</w:t>
            </w:r>
          </w:p>
        </w:tc>
        <w:tc>
          <w:tcPr>
            <w:tcW w:w="453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6836" w:type="dxa"/>
            <w:gridSpan w:val="6"/>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jc w:val="center"/>
              <w:rPr>
                <w:rFonts w:ascii="黑体" w:hAnsi="黑体" w:eastAsia="黑体" w:cs="宋体"/>
                <w:b/>
                <w:bCs/>
                <w:color w:val="000000"/>
                <w:kern w:val="0"/>
                <w:szCs w:val="21"/>
              </w:rPr>
            </w:pPr>
          </w:p>
        </w:tc>
        <w:tc>
          <w:tcPr>
            <w:tcW w:w="4536" w:type="dxa"/>
            <w:vMerge w:val="continue"/>
            <w:vAlign w:val="center"/>
          </w:tcPr>
          <w:p>
            <w:pPr>
              <w:widowControl/>
              <w:jc w:val="center"/>
              <w:rPr>
                <w:rFonts w:ascii="黑体" w:hAnsi="黑体" w:eastAsia="黑体" w:cs="宋体"/>
                <w:b/>
                <w:bCs/>
                <w:color w:val="000000"/>
                <w:kern w:val="0"/>
                <w:szCs w:val="21"/>
              </w:rPr>
            </w:pPr>
          </w:p>
        </w:tc>
        <w:tc>
          <w:tcPr>
            <w:tcW w:w="1417"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合计</w:t>
            </w:r>
          </w:p>
        </w:tc>
        <w:tc>
          <w:tcPr>
            <w:tcW w:w="1417" w:type="dxa"/>
            <w:gridSpan w:val="2"/>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一般公共预算拨款安排</w:t>
            </w:r>
          </w:p>
        </w:tc>
        <w:tc>
          <w:tcPr>
            <w:tcW w:w="1417"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政府性基金预算拨款安排</w:t>
            </w:r>
          </w:p>
        </w:tc>
        <w:tc>
          <w:tcPr>
            <w:tcW w:w="1281"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国有资本经营预算拨款安排</w:t>
            </w:r>
          </w:p>
        </w:tc>
        <w:tc>
          <w:tcPr>
            <w:tcW w:w="1304"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jc w:val="center"/>
              <w:rPr>
                <w:rFonts w:ascii="黑体" w:hAnsi="黑体" w:eastAsia="黑体" w:cs="宋体"/>
                <w:b/>
                <w:bCs/>
                <w:color w:val="000000"/>
                <w:kern w:val="0"/>
                <w:szCs w:val="21"/>
              </w:rPr>
            </w:pPr>
          </w:p>
        </w:tc>
        <w:tc>
          <w:tcPr>
            <w:tcW w:w="4536" w:type="dxa"/>
            <w:vMerge w:val="continue"/>
            <w:vAlign w:val="center"/>
          </w:tcPr>
          <w:p>
            <w:pPr>
              <w:widowControl/>
              <w:jc w:val="center"/>
              <w:rPr>
                <w:rFonts w:ascii="黑体" w:hAnsi="黑体" w:eastAsia="黑体" w:cs="宋体"/>
                <w:b/>
                <w:bCs/>
                <w:color w:val="000000"/>
                <w:kern w:val="0"/>
                <w:szCs w:val="21"/>
              </w:rPr>
            </w:pPr>
          </w:p>
        </w:tc>
        <w:tc>
          <w:tcPr>
            <w:tcW w:w="1417" w:type="dxa"/>
            <w:vMerge w:val="continue"/>
            <w:vAlign w:val="center"/>
          </w:tcPr>
          <w:p>
            <w:pPr>
              <w:widowControl/>
              <w:jc w:val="center"/>
              <w:rPr>
                <w:rFonts w:ascii="黑体" w:hAnsi="黑体" w:eastAsia="黑体" w:cs="宋体"/>
                <w:b/>
                <w:bCs/>
                <w:color w:val="000000"/>
                <w:kern w:val="0"/>
                <w:szCs w:val="21"/>
              </w:rPr>
            </w:pPr>
          </w:p>
        </w:tc>
        <w:tc>
          <w:tcPr>
            <w:tcW w:w="1417" w:type="dxa"/>
            <w:gridSpan w:val="2"/>
            <w:vMerge w:val="continue"/>
            <w:vAlign w:val="center"/>
          </w:tcPr>
          <w:p>
            <w:pPr>
              <w:widowControl/>
              <w:jc w:val="center"/>
              <w:rPr>
                <w:rFonts w:ascii="黑体" w:hAnsi="黑体" w:eastAsia="黑体" w:cs="宋体"/>
                <w:b/>
                <w:bCs/>
                <w:color w:val="000000"/>
                <w:kern w:val="0"/>
                <w:szCs w:val="21"/>
              </w:rPr>
            </w:pPr>
          </w:p>
        </w:tc>
        <w:tc>
          <w:tcPr>
            <w:tcW w:w="1417" w:type="dxa"/>
            <w:vMerge w:val="continue"/>
            <w:vAlign w:val="center"/>
          </w:tcPr>
          <w:p>
            <w:pPr>
              <w:widowControl/>
              <w:jc w:val="center"/>
              <w:rPr>
                <w:rFonts w:ascii="黑体" w:hAnsi="黑体" w:eastAsia="黑体" w:cs="宋体"/>
                <w:b/>
                <w:bCs/>
                <w:color w:val="000000"/>
                <w:kern w:val="0"/>
                <w:szCs w:val="21"/>
              </w:rPr>
            </w:pPr>
          </w:p>
        </w:tc>
        <w:tc>
          <w:tcPr>
            <w:tcW w:w="1281" w:type="dxa"/>
            <w:vMerge w:val="continue"/>
            <w:vAlign w:val="center"/>
          </w:tcPr>
          <w:p>
            <w:pPr>
              <w:widowControl/>
              <w:jc w:val="center"/>
              <w:rPr>
                <w:rFonts w:ascii="黑体" w:hAnsi="黑体" w:eastAsia="黑体" w:cs="宋体"/>
                <w:b/>
                <w:bCs/>
                <w:color w:val="000000"/>
                <w:kern w:val="0"/>
                <w:szCs w:val="21"/>
              </w:rPr>
            </w:pPr>
          </w:p>
        </w:tc>
        <w:tc>
          <w:tcPr>
            <w:tcW w:w="1304" w:type="dxa"/>
            <w:vMerge w:val="continue"/>
            <w:vAlign w:val="center"/>
          </w:tcPr>
          <w:p>
            <w:pPr>
              <w:widowControl/>
              <w:jc w:val="center"/>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rPr>
                <w:rFonts w:ascii="宋体" w:hAnsi="宋体" w:cs="宋体"/>
                <w:color w:val="000000"/>
                <w:kern w:val="0"/>
                <w:szCs w:val="21"/>
              </w:rPr>
            </w:pPr>
          </w:p>
        </w:tc>
        <w:tc>
          <w:tcPr>
            <w:tcW w:w="4536" w:type="dxa"/>
            <w:vMerge w:val="continue"/>
            <w:vAlign w:val="center"/>
          </w:tcPr>
          <w:p>
            <w:pPr>
              <w:widowControl/>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281" w:type="dxa"/>
            <w:vMerge w:val="continue"/>
            <w:vAlign w:val="center"/>
          </w:tcPr>
          <w:p>
            <w:pPr>
              <w:widowControl/>
              <w:jc w:val="right"/>
              <w:rPr>
                <w:rFonts w:ascii="宋体" w:hAnsi="宋体" w:cs="宋体"/>
                <w:color w:val="000000"/>
                <w:kern w:val="0"/>
                <w:szCs w:val="21"/>
              </w:rPr>
            </w:pPr>
          </w:p>
        </w:tc>
        <w:tc>
          <w:tcPr>
            <w:tcW w:w="1304" w:type="dxa"/>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hint="eastAsia" w:ascii="宋体" w:hAnsi="宋体" w:cs="宋体"/>
                <w:color w:val="000000"/>
                <w:kern w:val="0"/>
                <w:szCs w:val="21"/>
              </w:rPr>
              <w:t>唐山市统计局（参公</w:t>
            </w:r>
            <w:r>
              <w:rPr>
                <w:rFonts w:ascii="宋体" w:hAnsi="宋体" w:cs="宋体"/>
                <w:color w:val="000000"/>
                <w:kern w:val="0"/>
                <w:szCs w:val="21"/>
              </w:rPr>
              <w:t>2户）</w:t>
            </w:r>
          </w:p>
        </w:tc>
        <w:tc>
          <w:tcPr>
            <w:tcW w:w="4536" w:type="dxa"/>
            <w:vAlign w:val="center"/>
          </w:tcPr>
          <w:p>
            <w:pPr>
              <w:widowControl/>
              <w:rPr>
                <w:rFonts w:ascii="宋体" w:hAnsi="宋体" w:cs="宋体"/>
                <w:color w:val="000000"/>
                <w:kern w:val="0"/>
                <w:szCs w:val="21"/>
              </w:rPr>
            </w:pPr>
            <w:r>
              <w:rPr>
                <w:rFonts w:hint="eastAsia" w:ascii="宋体" w:hAnsi="宋体" w:cs="宋体"/>
                <w:color w:val="000000"/>
                <w:kern w:val="0"/>
                <w:szCs w:val="21"/>
              </w:rPr>
              <w:t>第三次全国农业普查</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rPr>
                <w:rFonts w:ascii="宋体" w:hAnsi="宋体" w:cs="宋体"/>
                <w:color w:val="000000"/>
                <w:kern w:val="0"/>
                <w:szCs w:val="21"/>
              </w:rPr>
            </w:pPr>
            <w:r>
              <w:rPr>
                <w:rFonts w:ascii="宋体" w:hAnsi="宋体" w:cs="宋体"/>
                <w:color w:val="000000"/>
                <w:kern w:val="0"/>
                <w:szCs w:val="21"/>
              </w:rPr>
              <w:t xml:space="preserve">  合计</w:t>
            </w:r>
          </w:p>
        </w:tc>
        <w:tc>
          <w:tcPr>
            <w:tcW w:w="4536" w:type="dxa"/>
            <w:vAlign w:val="center"/>
          </w:tcPr>
          <w:p>
            <w:pPr>
              <w:widowControl/>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417" w:type="dxa"/>
            <w:vAlign w:val="center"/>
          </w:tcPr>
          <w:p>
            <w:pPr>
              <w:widowControl/>
              <w:jc w:val="right"/>
              <w:rPr>
                <w:rFonts w:ascii="宋体" w:hAnsi="宋体" w:cs="宋体"/>
                <w:color w:val="000000"/>
                <w:kern w:val="0"/>
                <w:szCs w:val="21"/>
              </w:rPr>
            </w:pPr>
          </w:p>
        </w:tc>
        <w:tc>
          <w:tcPr>
            <w:tcW w:w="1281" w:type="dxa"/>
            <w:vAlign w:val="center"/>
          </w:tcPr>
          <w:p>
            <w:pPr>
              <w:widowControl/>
              <w:jc w:val="right"/>
              <w:rPr>
                <w:rFonts w:ascii="宋体" w:hAnsi="宋体" w:cs="宋体"/>
                <w:color w:val="000000"/>
                <w:kern w:val="0"/>
                <w:szCs w:val="21"/>
              </w:rPr>
            </w:pPr>
          </w:p>
        </w:tc>
        <w:tc>
          <w:tcPr>
            <w:tcW w:w="1304" w:type="dxa"/>
            <w:vAlign w:val="center"/>
          </w:tcPr>
          <w:p>
            <w:pPr>
              <w:widowControl/>
              <w:jc w:val="right"/>
              <w:rPr>
                <w:rFonts w:ascii="宋体" w:hAnsi="宋体" w:cs="宋体"/>
                <w:color w:val="000000"/>
                <w:kern w:val="0"/>
                <w:szCs w:val="21"/>
              </w:rPr>
            </w:pPr>
          </w:p>
        </w:tc>
      </w:tr>
    </w:tbl>
    <w:p>
      <w:pPr>
        <w:spacing w:line="0" w:lineRule="atLeast"/>
      </w:pPr>
    </w:p>
    <w:p>
      <w:pPr>
        <w:jc w:val="left"/>
        <w:sectPr>
          <w:headerReference r:id="rId20" w:type="default"/>
          <w:pgSz w:w="16838" w:h="11906" w:orient="landscape"/>
          <w:pgMar w:top="1800" w:right="1440" w:bottom="1800" w:left="1440" w:header="851" w:footer="992" w:gutter="0"/>
          <w:cols w:space="720" w:num="1"/>
          <w:docGrid w:type="lines" w:linePitch="312"/>
        </w:sectPr>
      </w:pPr>
    </w:p>
    <w:p>
      <w:pPr>
        <w:jc w:val="left"/>
        <w:rPr>
          <w:rFonts w:ascii="宋体" w:hAnsi="宋体"/>
          <w:b/>
          <w:color w:val="000000"/>
          <w:sz w:val="44"/>
        </w:rPr>
      </w:pPr>
    </w:p>
    <w:p>
      <w:pPr>
        <w:jc w:val="left"/>
        <w:rPr>
          <w:rFonts w:ascii="宋体" w:hAnsi="宋体"/>
          <w:b/>
          <w:color w:val="000000"/>
          <w:sz w:val="44"/>
        </w:rPr>
      </w:pPr>
    </w:p>
    <w:p>
      <w:pPr>
        <w:jc w:val="left"/>
        <w:rPr>
          <w:rFonts w:ascii="宋体" w:hAnsi="宋体"/>
          <w:b/>
          <w:color w:val="000000"/>
          <w:sz w:val="44"/>
        </w:rPr>
      </w:pPr>
    </w:p>
    <w:p>
      <w:pPr>
        <w:jc w:val="left"/>
        <w:rPr>
          <w:rFonts w:ascii="宋体" w:hAnsi="宋体"/>
          <w:b/>
          <w:color w:val="000000"/>
          <w:sz w:val="44"/>
        </w:rPr>
      </w:pPr>
    </w:p>
    <w:p>
      <w:pPr>
        <w:pStyle w:val="2"/>
        <w:jc w:val="center"/>
        <w:sectPr>
          <w:pgSz w:w="11906" w:h="16838"/>
          <w:pgMar w:top="1440" w:right="1800" w:bottom="1440" w:left="1800" w:header="851" w:footer="992" w:gutter="0"/>
          <w:cols w:space="720" w:num="1"/>
          <w:docGrid w:type="lines" w:linePitch="312"/>
        </w:sectPr>
      </w:pPr>
      <w:bookmarkStart w:id="15" w:name="_Toc476153813"/>
      <w:r>
        <w:t>一、唐山市统计局收支预算安排</w:t>
      </w:r>
      <w:bookmarkEnd w:id="15"/>
    </w:p>
    <w:p>
      <w:pPr>
        <w:jc w:val="center"/>
        <w:rPr>
          <w:rFonts w:ascii="宋体" w:hAnsi="宋体"/>
          <w:b/>
          <w:color w:val="000000"/>
          <w:sz w:val="44"/>
        </w:rPr>
      </w:pPr>
      <w:r>
        <w:rPr>
          <w:rFonts w:hint="eastAsia" w:ascii="宋体" w:hAnsi="宋体"/>
          <w:b/>
          <w:color w:val="000000"/>
          <w:sz w:val="44"/>
        </w:rPr>
        <w:t>唐山市统计局职责任务与目标</w:t>
      </w:r>
    </w:p>
    <w:p>
      <w:pPr>
        <w:spacing w:line="480" w:lineRule="auto"/>
        <w:jc w:val="left"/>
        <w:rPr>
          <w:rFonts w:ascii="宋体" w:hAnsi="宋体"/>
          <w:b/>
          <w:color w:val="000000"/>
          <w:sz w:val="28"/>
        </w:rPr>
      </w:pPr>
      <w:r>
        <w:rPr>
          <w:rFonts w:ascii="宋体" w:hAnsi="宋体"/>
          <w:b/>
          <w:color w:val="000000"/>
          <w:sz w:val="28"/>
        </w:rPr>
        <w:t>一、主要职责</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ascii="宋体" w:hAnsi="Times New Roman" w:cs="宋体"/>
          <w:kern w:val="0"/>
          <w:szCs w:val="21"/>
        </w:rPr>
        <w:t>1</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依照国家和省有关法律、法规和政策、计划，制定并实施统计工作规章制度、统计现代化建设规划和统计调查计划；组织领导和监督检查市内各县（市）、区、场、各部门统计和国民经济核算工作，监督检查统计法律、法规实施情况。</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ascii="宋体" w:hAnsi="Times New Roman" w:cs="宋体"/>
          <w:kern w:val="0"/>
          <w:szCs w:val="21"/>
        </w:rPr>
        <w:t>2</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贯彻执行国家和省国民经济核算体系、统计指标体系和基本统计制度；组织、协调全市统计工作和国民经济核算工作；统一组织、管理全市统计报表工作；制定全市统计调查标准和统计调查制度；组织管理、审批各部门、各县（市）区统计调查项目（包括社会和涉外调查）、调查计划、调查方案；组织管理全市统计登记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ascii="宋体" w:hAnsi="Times New Roman" w:cs="宋体"/>
          <w:kern w:val="0"/>
          <w:szCs w:val="21"/>
        </w:rPr>
        <w:t>3</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组织完成国家和省部署的普查任务；研究提出重大市情市力普查和抽样调查计划，并组织实施；组织协调各县（市）、区、场、各部门社会经济调查，汇总、整理全市基本统计资料；对国民经济、科技进步和社会发展等情况进行统计分析、预测、监督和考核，向市委、市政府及有关部门提供统计信息和咨询建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ascii="宋体" w:hAnsi="Times New Roman" w:cs="宋体"/>
          <w:kern w:val="0"/>
          <w:szCs w:val="21"/>
        </w:rPr>
        <w:t>4</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统一核定、管理、公布、出版全市性的基本统计资料，定期发布全市国民经济和社会发展情况的统计信息。</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ascii="宋体" w:hAnsi="Times New Roman" w:cs="宋体"/>
          <w:kern w:val="0"/>
          <w:szCs w:val="21"/>
        </w:rPr>
        <w:t>5</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管理全市统计信息自动化系统和统计数据库体系；管理全市统计数据库网络。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ascii="宋体" w:hAnsi="Times New Roman" w:cs="宋体"/>
          <w:kern w:val="0"/>
          <w:szCs w:val="21"/>
        </w:rPr>
        <w:t>6</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组织管理统计人员持证上岗及培训教育，协助有关部门组织管理统计专业技术资格考试和专业技术职务评聘工作。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ascii="宋体" w:hAnsi="Times New Roman" w:cs="宋体"/>
          <w:kern w:val="0"/>
          <w:szCs w:val="21"/>
        </w:rPr>
        <w:t>7</w:t>
      </w:r>
      <w:r>
        <w:rPr>
          <w:rFonts w:hint="eastAsia" w:ascii="宋体" w:hAnsi="Times New Roman" w:cs="宋体"/>
          <w:kern w:val="0"/>
          <w:szCs w:val="21"/>
        </w:rPr>
        <w:t>、</w:t>
      </w:r>
      <w:r>
        <w:rPr>
          <w:rFonts w:hint="eastAsia" w:ascii="宋体" w:hAnsi="宋体" w:cs="宋体"/>
          <w:kern w:val="0"/>
          <w:szCs w:val="21"/>
        </w:rPr>
        <w:t>负责全市各部门各单位统计工作业务指导，开展统计工作和统计科学的学术交流合作；规划、协调全市社会经济统计信息咨询服务行业，积极培育和发展信息咨询服务市场。</w:t>
      </w:r>
    </w:p>
    <w:p>
      <w:pPr>
        <w:spacing w:line="480" w:lineRule="auto"/>
        <w:jc w:val="left"/>
        <w:rPr>
          <w:rFonts w:ascii="宋体" w:hAnsi="宋体"/>
          <w:b/>
          <w:color w:val="000000"/>
          <w:sz w:val="28"/>
        </w:rPr>
      </w:pPr>
      <w:r>
        <w:rPr>
          <w:rFonts w:ascii="宋体" w:hAnsi="宋体"/>
          <w:b/>
          <w:color w:val="000000"/>
          <w:sz w:val="28"/>
        </w:rPr>
        <w:t>二、主要任务及目标规划</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Times New Roman" w:cs="宋体"/>
          <w:b/>
          <w:bCs/>
          <w:kern w:val="0"/>
          <w:szCs w:val="21"/>
        </w:rPr>
      </w:pPr>
      <w:r>
        <w:rPr>
          <w:rFonts w:hint="eastAsia" w:ascii="宋体" w:hAnsi="Times New Roman" w:cs="宋体"/>
          <w:b/>
          <w:bCs/>
          <w:kern w:val="0"/>
          <w:szCs w:val="21"/>
        </w:rPr>
        <w:t>2017年主要任务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1</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依照国家和省有关法律、法规和政策、计划，制定并实施统计工作规章制度、统计现代化建设规划和统计调查计划；组织领导和监督检查市内各县（市）、区、场、各部门统计和国民经济核算工作，监督检查统计法律、法规实施情况。</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2</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贯彻执行国家和省国民经济核算体系、统计指标体系和基本统计制度；组织、协调全市统计工作和国民经济核算工作；统一组织、管理全市统计报表工作；制定全市统计调查标准和统计调查制度；组织管理、审批各部门、各县（市）区统计调查项目（包括社会和涉外调查）、调查计划、调查方案；组织管理全市统计登记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3</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组织完成国家和省部署的普查任务；研究提出重大市情市力普查和抽样调查计划，并组织实施；组织协调各县（市）、区、场、各部门社会经济调查，汇总、整理全市基本统计资料；对国民经济、科技进步和社会发展等情况进行统计分析、预测、监督和考核，向市委、市政府及有关部门提供统计信息和咨询建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4</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统一核定、管理、公布、出版全市性的基本统计资料，定期发布全市国民经济和社会发展情况的统计信息。</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5</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管理全市统计信息自动化系统和统计数据库体系；管理全市统计数据库网络。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6</w:t>
      </w:r>
      <w:r>
        <w:rPr>
          <w:rFonts w:hint="eastAsia" w:ascii="宋体" w:hAnsi="Times New Roman" w:cs="宋体"/>
          <w:kern w:val="0"/>
          <w:szCs w:val="21"/>
        </w:rPr>
        <w:t>、</w:t>
      </w:r>
      <w:r>
        <w:rPr>
          <w:rFonts w:hint="eastAsia" w:ascii="宋体" w:hAnsi="宋体" w:cs="宋体"/>
          <w:kern w:val="0"/>
          <w:szCs w:val="21"/>
        </w:rPr>
        <w:t>组织管理统计人员持证上岗及培训教育，协助有关部门组织管理统计专业技术资格考试和专业技术职务评聘工作。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kern w:val="0"/>
          <w:szCs w:val="21"/>
        </w:rPr>
      </w:pPr>
      <w:r>
        <w:rPr>
          <w:rFonts w:ascii="宋体" w:hAnsi="Times New Roman" w:cs="宋体"/>
          <w:kern w:val="0"/>
          <w:szCs w:val="21"/>
        </w:rPr>
        <w:t>7</w:t>
      </w:r>
      <w:r>
        <w:rPr>
          <w:rFonts w:hint="eastAsia" w:ascii="宋体" w:hAnsi="Times New Roman" w:cs="宋体"/>
          <w:kern w:val="0"/>
          <w:szCs w:val="21"/>
        </w:rPr>
        <w:t>、</w:t>
      </w:r>
      <w:r>
        <w:rPr>
          <w:rFonts w:ascii="宋体" w:hAnsi="Times New Roman" w:cs="宋体"/>
          <w:kern w:val="0"/>
          <w:szCs w:val="21"/>
        </w:rPr>
        <w:t xml:space="preserve"> </w:t>
      </w:r>
      <w:r>
        <w:rPr>
          <w:rFonts w:hint="eastAsia" w:ascii="宋体" w:hAnsi="宋体" w:cs="宋体"/>
          <w:kern w:val="0"/>
          <w:szCs w:val="21"/>
        </w:rPr>
        <w:t>负责全市各部门各单位统计工作业务指导，开展统计工作和统计科学的学术交流合作；规划、协调全市社会经济统计信息咨询服务行业，积极培育和发展信息咨询服务市场。</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b/>
          <w:bCs/>
          <w:kern w:val="0"/>
          <w:szCs w:val="21"/>
        </w:rPr>
      </w:pPr>
      <w:r>
        <w:rPr>
          <w:rFonts w:ascii="宋体" w:hAnsi="Times New Roman" w:cs="宋体"/>
          <w:b/>
          <w:bCs/>
          <w:kern w:val="0"/>
          <w:szCs w:val="21"/>
        </w:rPr>
        <w:t>201</w:t>
      </w:r>
      <w:r>
        <w:rPr>
          <w:rFonts w:hint="eastAsia" w:ascii="宋体" w:hAnsi="Times New Roman" w:cs="宋体"/>
          <w:b/>
          <w:bCs/>
          <w:kern w:val="0"/>
          <w:szCs w:val="21"/>
        </w:rPr>
        <w:t>7</w:t>
      </w:r>
      <w:r>
        <w:rPr>
          <w:rFonts w:hint="eastAsia" w:ascii="宋体" w:hAnsi="宋体" w:cs="宋体"/>
          <w:b/>
          <w:bCs/>
          <w:kern w:val="0"/>
          <w:szCs w:val="21"/>
        </w:rPr>
        <w:t>年目标规划</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ascii="宋体" w:hAnsi="Times New Roman" w:cs="宋体"/>
          <w:kern w:val="0"/>
          <w:szCs w:val="21"/>
        </w:rPr>
        <w:t>201</w:t>
      </w:r>
      <w:r>
        <w:rPr>
          <w:rFonts w:hint="eastAsia" w:ascii="宋体" w:hAnsi="Times New Roman" w:cs="宋体"/>
          <w:kern w:val="0"/>
          <w:szCs w:val="21"/>
        </w:rPr>
        <w:t>7</w:t>
      </w:r>
      <w:r>
        <w:rPr>
          <w:rFonts w:hint="eastAsia" w:ascii="宋体" w:hAnsi="宋体" w:cs="宋体"/>
          <w:kern w:val="0"/>
          <w:szCs w:val="21"/>
        </w:rPr>
        <w:t>年，全市统计工作的任务将更加艰巨繁重，我们一定认真按照市委、市政府的一系列部署，牢牢把握</w:t>
      </w:r>
      <w:r>
        <w:rPr>
          <w:rFonts w:ascii="宋体" w:hAnsi="宋体" w:cs="宋体"/>
          <w:kern w:val="0"/>
          <w:szCs w:val="21"/>
        </w:rPr>
        <w:t xml:space="preserve"> </w:t>
      </w:r>
      <w:r>
        <w:rPr>
          <w:rFonts w:hint="eastAsia" w:ascii="宋体" w:hAnsi="宋体" w:cs="宋体"/>
          <w:kern w:val="0"/>
          <w:szCs w:val="21"/>
        </w:rPr>
        <w:t>推进科学统计、服务科学发展</w:t>
      </w:r>
      <w:r>
        <w:rPr>
          <w:rFonts w:ascii="宋体" w:hAnsi="宋体" w:cs="宋体"/>
          <w:kern w:val="0"/>
          <w:szCs w:val="21"/>
        </w:rPr>
        <w:t xml:space="preserve"> </w:t>
      </w:r>
      <w:r>
        <w:rPr>
          <w:rFonts w:hint="eastAsia" w:ascii="宋体" w:hAnsi="宋体" w:cs="宋体"/>
          <w:kern w:val="0"/>
          <w:szCs w:val="21"/>
        </w:rPr>
        <w:t>的主题，以推进科学统计为主线，大力开展</w:t>
      </w:r>
      <w:r>
        <w:rPr>
          <w:rFonts w:ascii="宋体" w:hAnsi="宋体" w:cs="宋体"/>
          <w:kern w:val="0"/>
          <w:szCs w:val="21"/>
        </w:rPr>
        <w:t xml:space="preserve"> </w:t>
      </w:r>
      <w:r>
        <w:rPr>
          <w:rFonts w:hint="eastAsia" w:ascii="宋体" w:hAnsi="宋体" w:cs="宋体"/>
          <w:kern w:val="0"/>
          <w:szCs w:val="21"/>
        </w:rPr>
        <w:t>改革创优提质年</w:t>
      </w:r>
      <w:r>
        <w:rPr>
          <w:rFonts w:ascii="宋体" w:hAnsi="宋体" w:cs="宋体"/>
          <w:kern w:val="0"/>
          <w:szCs w:val="21"/>
        </w:rPr>
        <w:t xml:space="preserve"> </w:t>
      </w:r>
      <w:r>
        <w:rPr>
          <w:rFonts w:hint="eastAsia" w:ascii="宋体" w:hAnsi="宋体" w:cs="宋体"/>
          <w:kern w:val="0"/>
          <w:szCs w:val="21"/>
        </w:rPr>
        <w:t>活动，更好地发挥</w:t>
      </w:r>
      <w:r>
        <w:rPr>
          <w:rFonts w:ascii="宋体" w:hAnsi="宋体" w:cs="宋体"/>
          <w:kern w:val="0"/>
          <w:szCs w:val="21"/>
        </w:rPr>
        <w:t xml:space="preserve"> </w:t>
      </w:r>
      <w:r>
        <w:rPr>
          <w:rFonts w:hint="eastAsia" w:ascii="宋体" w:hAnsi="宋体" w:cs="宋体"/>
          <w:kern w:val="0"/>
          <w:szCs w:val="21"/>
        </w:rPr>
        <w:t>导航仪</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数据库</w:t>
      </w:r>
      <w:r>
        <w:rPr>
          <w:rFonts w:ascii="宋体" w:hAnsi="宋体" w:cs="宋体"/>
          <w:kern w:val="0"/>
          <w:szCs w:val="21"/>
        </w:rPr>
        <w:t xml:space="preserve"> </w:t>
      </w:r>
      <w:r>
        <w:rPr>
          <w:rFonts w:hint="eastAsia" w:ascii="宋体" w:hAnsi="宋体" w:cs="宋体"/>
          <w:kern w:val="0"/>
          <w:szCs w:val="21"/>
        </w:rPr>
        <w:t>和</w:t>
      </w:r>
      <w:r>
        <w:rPr>
          <w:rFonts w:ascii="宋体" w:hAnsi="宋体" w:cs="宋体"/>
          <w:kern w:val="0"/>
          <w:szCs w:val="21"/>
        </w:rPr>
        <w:t xml:space="preserve"> </w:t>
      </w:r>
      <w:r>
        <w:rPr>
          <w:rFonts w:hint="eastAsia" w:ascii="宋体" w:hAnsi="宋体" w:cs="宋体"/>
          <w:kern w:val="0"/>
          <w:szCs w:val="21"/>
        </w:rPr>
        <w:t>参谋部</w:t>
      </w:r>
      <w:r>
        <w:rPr>
          <w:rFonts w:ascii="宋体" w:hAnsi="宋体" w:cs="宋体"/>
          <w:kern w:val="0"/>
          <w:szCs w:val="21"/>
        </w:rPr>
        <w:t xml:space="preserve"> </w:t>
      </w:r>
      <w:r>
        <w:rPr>
          <w:rFonts w:hint="eastAsia" w:ascii="宋体" w:hAnsi="宋体" w:cs="宋体"/>
          <w:kern w:val="0"/>
          <w:szCs w:val="21"/>
        </w:rPr>
        <w:t>的作用，为唐山科学发展提供坚强有力的统计保障。重点抓好以</w:t>
      </w:r>
      <w:r>
        <w:rPr>
          <w:rFonts w:ascii="宋体" w:hAnsi="宋体" w:cs="宋体"/>
          <w:kern w:val="0"/>
          <w:szCs w:val="21"/>
        </w:rPr>
        <w:t xml:space="preserve"> </w:t>
      </w:r>
      <w:r>
        <w:rPr>
          <w:rFonts w:hint="eastAsia" w:ascii="宋体" w:hAnsi="宋体" w:cs="宋体"/>
          <w:kern w:val="0"/>
          <w:szCs w:val="21"/>
        </w:rPr>
        <w:t>七化</w:t>
      </w:r>
      <w:r>
        <w:rPr>
          <w:rFonts w:ascii="宋体" w:hAnsi="宋体" w:cs="宋体"/>
          <w:kern w:val="0"/>
          <w:szCs w:val="21"/>
        </w:rPr>
        <w:t xml:space="preserve"> </w:t>
      </w:r>
      <w:r>
        <w:rPr>
          <w:rFonts w:hint="eastAsia" w:ascii="宋体" w:hAnsi="宋体" w:cs="宋体"/>
          <w:kern w:val="0"/>
          <w:szCs w:val="21"/>
        </w:rPr>
        <w:t>为重点的科学统计体系建设和各项调查任务：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kern w:val="0"/>
          <w:szCs w:val="21"/>
        </w:rPr>
      </w:pPr>
      <w:r>
        <w:rPr>
          <w:rFonts w:hint="eastAsia" w:ascii="宋体" w:hAnsi="宋体" w:cs="宋体"/>
          <w:kern w:val="0"/>
          <w:szCs w:val="21"/>
        </w:rPr>
        <w:t>1、建立规范化的</w:t>
      </w:r>
      <w:r>
        <w:rPr>
          <w:rFonts w:ascii="宋体" w:hAnsi="宋体" w:cs="宋体"/>
          <w:kern w:val="0"/>
          <w:szCs w:val="21"/>
        </w:rPr>
        <w:t xml:space="preserve"> </w:t>
      </w:r>
      <w:r>
        <w:rPr>
          <w:rFonts w:hint="eastAsia" w:ascii="宋体" w:hAnsi="宋体" w:cs="宋体"/>
          <w:kern w:val="0"/>
          <w:szCs w:val="21"/>
        </w:rPr>
        <w:t>双基</w:t>
      </w:r>
      <w:r>
        <w:rPr>
          <w:rFonts w:ascii="宋体" w:hAnsi="宋体" w:cs="宋体"/>
          <w:kern w:val="0"/>
          <w:szCs w:val="21"/>
        </w:rPr>
        <w:t xml:space="preserve"> </w:t>
      </w:r>
      <w:r>
        <w:rPr>
          <w:rFonts w:hint="eastAsia" w:ascii="宋体" w:hAnsi="宋体" w:cs="宋体"/>
          <w:kern w:val="0"/>
          <w:szCs w:val="21"/>
        </w:rPr>
        <w:t>管理体系。更加注重工作重心下移，在严格标准、注重实效上下功夫，努力把基层基础工作搞扎实。</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kern w:val="0"/>
          <w:szCs w:val="21"/>
        </w:rPr>
      </w:pPr>
      <w:r>
        <w:rPr>
          <w:rFonts w:hint="eastAsia" w:ascii="宋体" w:hAnsi="宋体" w:cs="宋体"/>
          <w:b/>
          <w:bCs/>
          <w:kern w:val="0"/>
          <w:szCs w:val="21"/>
        </w:rPr>
        <w:t>（1）规范管理制度。</w:t>
      </w:r>
      <w:r>
        <w:rPr>
          <w:rFonts w:hint="eastAsia" w:ascii="宋体" w:hAnsi="宋体" w:cs="宋体"/>
          <w:kern w:val="0"/>
          <w:szCs w:val="21"/>
        </w:rPr>
        <w:t>进一步完善《唐山市统计局关于乡镇（场）和街道办事处统计基础规范化建设实施方案》，并出台《关于进一步加强乡镇统计站建设的通知》，强化规范化管理，力争使还没有通过省局评定的</w:t>
      </w:r>
      <w:r>
        <w:rPr>
          <w:rFonts w:ascii="宋体" w:hAnsi="宋体" w:cs="宋体"/>
          <w:kern w:val="0"/>
          <w:szCs w:val="21"/>
        </w:rPr>
        <w:t>8</w:t>
      </w:r>
      <w:r>
        <w:rPr>
          <w:rFonts w:hint="eastAsia" w:ascii="宋体" w:hAnsi="宋体" w:cs="宋体"/>
          <w:kern w:val="0"/>
          <w:szCs w:val="21"/>
        </w:rPr>
        <w:t>个县（市）早日验收合格。</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kern w:val="0"/>
          <w:szCs w:val="21"/>
        </w:rPr>
      </w:pP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kern w:val="0"/>
          <w:szCs w:val="21"/>
        </w:rPr>
        <w:t>）规范工作标准。</w:t>
      </w:r>
      <w:r>
        <w:rPr>
          <w:rFonts w:hint="eastAsia" w:ascii="宋体" w:hAnsi="宋体" w:cs="宋体"/>
          <w:kern w:val="0"/>
          <w:szCs w:val="21"/>
        </w:rPr>
        <w:t>对乡镇统计站明确</w:t>
      </w:r>
      <w:r>
        <w:rPr>
          <w:rFonts w:ascii="宋体" w:hAnsi="宋体" w:cs="宋体"/>
          <w:kern w:val="0"/>
          <w:szCs w:val="21"/>
        </w:rPr>
        <w:t xml:space="preserve"> </w:t>
      </w:r>
      <w:r>
        <w:rPr>
          <w:rFonts w:hint="eastAsia" w:ascii="宋体" w:hAnsi="宋体" w:cs="宋体"/>
          <w:kern w:val="0"/>
          <w:szCs w:val="21"/>
        </w:rPr>
        <w:t>八个有</w:t>
      </w:r>
      <w:r>
        <w:rPr>
          <w:rFonts w:ascii="宋体" w:hAnsi="宋体" w:cs="宋体"/>
          <w:kern w:val="0"/>
          <w:szCs w:val="21"/>
        </w:rPr>
        <w:t xml:space="preserve"> </w:t>
      </w:r>
      <w:r>
        <w:rPr>
          <w:rFonts w:hint="eastAsia" w:ascii="宋体" w:hAnsi="宋体" w:cs="宋体"/>
          <w:kern w:val="0"/>
          <w:szCs w:val="21"/>
        </w:rPr>
        <w:t>标准，建立</w:t>
      </w:r>
      <w:r>
        <w:rPr>
          <w:rFonts w:ascii="宋体" w:hAnsi="宋体" w:cs="宋体"/>
          <w:kern w:val="0"/>
          <w:szCs w:val="21"/>
        </w:rPr>
        <w:t xml:space="preserve"> </w:t>
      </w:r>
      <w:r>
        <w:rPr>
          <w:rFonts w:hint="eastAsia" w:ascii="宋体" w:hAnsi="宋体" w:cs="宋体"/>
          <w:kern w:val="0"/>
          <w:szCs w:val="21"/>
        </w:rPr>
        <w:t>八项制度</w:t>
      </w:r>
      <w:r>
        <w:rPr>
          <w:rFonts w:ascii="宋体" w:hAnsi="宋体" w:cs="宋体"/>
          <w:kern w:val="0"/>
          <w:szCs w:val="21"/>
        </w:rPr>
        <w:t xml:space="preserve"> </w:t>
      </w:r>
      <w:r>
        <w:rPr>
          <w:rFonts w:hint="eastAsia" w:ascii="宋体" w:hAnsi="宋体" w:cs="宋体"/>
          <w:kern w:val="0"/>
          <w:szCs w:val="21"/>
        </w:rPr>
        <w:t>，并对执行情况进行督导检查，对不合格单位限期整改。</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kern w:val="0"/>
          <w:szCs w:val="21"/>
        </w:rPr>
      </w:pPr>
      <w:r>
        <w:rPr>
          <w:rFonts w:hint="eastAsia" w:ascii="宋体" w:hAnsi="宋体" w:cs="宋体"/>
          <w:b/>
          <w:bCs/>
          <w:kern w:val="0"/>
          <w:szCs w:val="21"/>
        </w:rPr>
        <w:t>（</w:t>
      </w:r>
      <w:r>
        <w:rPr>
          <w:rFonts w:ascii="宋体" w:hAnsi="宋体" w:cs="宋体"/>
          <w:b/>
          <w:bCs/>
          <w:kern w:val="0"/>
          <w:szCs w:val="21"/>
        </w:rPr>
        <w:t>3</w:t>
      </w:r>
      <w:r>
        <w:rPr>
          <w:rFonts w:hint="eastAsia" w:ascii="宋体" w:hAnsi="宋体" w:cs="宋体"/>
          <w:b/>
          <w:bCs/>
          <w:kern w:val="0"/>
          <w:szCs w:val="21"/>
        </w:rPr>
        <w:t>）规范指标设置。</w:t>
      </w:r>
      <w:r>
        <w:rPr>
          <w:rFonts w:hint="eastAsia" w:ascii="宋体" w:hAnsi="宋体" w:cs="宋体"/>
          <w:kern w:val="0"/>
          <w:szCs w:val="21"/>
        </w:rPr>
        <w:t>及时、系统、全面地跟踪反映社会经济发展，坚持与时俱进合理设置统计指标，科学构筑统计指标体系，为党委、政府科学决策提供丰富、翔实的量化依据。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kern w:val="0"/>
          <w:szCs w:val="21"/>
        </w:rPr>
      </w:pPr>
      <w:r>
        <w:rPr>
          <w:rFonts w:hint="eastAsia" w:ascii="宋体" w:hAnsi="宋体" w:cs="宋体"/>
          <w:b/>
          <w:bCs/>
          <w:kern w:val="0"/>
          <w:szCs w:val="21"/>
        </w:rPr>
        <w:t>（</w:t>
      </w:r>
      <w:r>
        <w:rPr>
          <w:rFonts w:ascii="宋体" w:hAnsi="宋体" w:cs="宋体"/>
          <w:b/>
          <w:bCs/>
          <w:kern w:val="0"/>
          <w:szCs w:val="21"/>
        </w:rPr>
        <w:t>4</w:t>
      </w:r>
      <w:r>
        <w:rPr>
          <w:rFonts w:hint="eastAsia" w:ascii="宋体" w:hAnsi="宋体" w:cs="宋体"/>
          <w:b/>
          <w:bCs/>
          <w:kern w:val="0"/>
          <w:szCs w:val="21"/>
        </w:rPr>
        <w:t>）规范统计行为。</w:t>
      </w:r>
      <w:r>
        <w:rPr>
          <w:rFonts w:hint="eastAsia" w:ascii="宋体" w:hAnsi="宋体" w:cs="宋体"/>
          <w:kern w:val="0"/>
          <w:szCs w:val="21"/>
        </w:rPr>
        <w:t>拟以市政府名义出台《规范基层统计工作的通知》，协调部门专项统计，加强统计基础，规范全市统计工作。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kern w:val="0"/>
          <w:szCs w:val="21"/>
        </w:rPr>
      </w:pPr>
      <w:r>
        <w:rPr>
          <w:rFonts w:hint="eastAsia" w:ascii="宋体" w:hAnsi="宋体" w:cs="宋体"/>
          <w:kern w:val="0"/>
          <w:szCs w:val="21"/>
        </w:rPr>
        <w:t>2、建立责任化的数据控制体系。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（1）实行数据质量层层负责制。</w:t>
      </w:r>
      <w:r>
        <w:rPr>
          <w:rFonts w:hint="eastAsia" w:ascii="宋体" w:hAnsi="宋体" w:cs="宋体"/>
          <w:kern w:val="0"/>
          <w:szCs w:val="21"/>
        </w:rPr>
        <w:t>发挥</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责任明确的优势，不断提高数据质量作为统计部门的第一职责。</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color w:val="000000"/>
          <w:kern w:val="0"/>
          <w:szCs w:val="21"/>
        </w:rPr>
        <w:t>（2）</w:t>
      </w:r>
      <w:r>
        <w:rPr>
          <w:rFonts w:hint="eastAsia" w:ascii="宋体" w:hAnsi="宋体" w:cs="宋体"/>
          <w:b/>
          <w:bCs/>
          <w:kern w:val="0"/>
          <w:szCs w:val="21"/>
        </w:rPr>
        <w:t>落实数据联审责任制。</w:t>
      </w:r>
      <w:r>
        <w:rPr>
          <w:rFonts w:hint="eastAsia" w:ascii="宋体" w:hAnsi="宋体" w:cs="宋体"/>
          <w:color w:val="000000"/>
          <w:kern w:val="0"/>
          <w:szCs w:val="21"/>
        </w:rPr>
        <w:t>对固定资产投资、能源消耗、利用外资等重点指标的完成情况，坚持每季度与市直有关部门联合会审，并明确和落实各部门的责任。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kern w:val="0"/>
          <w:szCs w:val="21"/>
        </w:rPr>
      </w:pPr>
      <w:r>
        <w:rPr>
          <w:rFonts w:hint="eastAsia" w:ascii="宋体" w:hAnsi="宋体" w:cs="宋体"/>
          <w:b/>
          <w:bCs/>
          <w:kern w:val="0"/>
          <w:szCs w:val="21"/>
        </w:rPr>
        <w:t>（3）建立数据质量责任追究制度</w:t>
      </w:r>
      <w:r>
        <w:rPr>
          <w:rFonts w:hint="eastAsia" w:ascii="宋体" w:hAnsi="宋体" w:cs="宋体"/>
          <w:kern w:val="0"/>
          <w:szCs w:val="21"/>
        </w:rPr>
        <w:t>。制定统计数据质量责任事故追究办法，明确统计数据质量责任事故认定标准、责任事故追究形式，形成自我约束、自我监督的统计工作责任体系。</w:t>
      </w:r>
    </w:p>
    <w:p>
      <w:pPr>
        <w:widowControl/>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建立产品化的咨询服务体系。</w:t>
      </w:r>
      <w:r>
        <w:rPr>
          <w:rFonts w:hint="eastAsia" w:ascii="宋体" w:hAnsi="宋体" w:cs="宋体"/>
          <w:color w:val="000000"/>
          <w:kern w:val="0"/>
          <w:szCs w:val="21"/>
        </w:rPr>
        <w:t>积极提升服务理念，为领导决策提供全面的、能动的、高层次服务，实现统计咨询服务产品化。重点在用活统计数据、强化统计调研分析、为分层管理决策和社会公众提供优质服务上给力，在做精品、创品牌上下功夫。</w:t>
      </w:r>
    </w:p>
    <w:p>
      <w:pPr>
        <w:widowControl/>
        <w:numPr>
          <w:ilvl w:val="0"/>
          <w:numId w:val="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做好重要信息、统计资料和统计月报，编纂领导干部资料手册、统计年鉴、唐山统计和</w:t>
      </w:r>
      <w:r>
        <w:rPr>
          <w:rFonts w:ascii="宋体" w:hAnsi="宋体" w:cs="宋体"/>
          <w:color w:val="000000"/>
          <w:kern w:val="0"/>
          <w:szCs w:val="21"/>
        </w:rPr>
        <w:t xml:space="preserve"> </w:t>
      </w:r>
      <w:r>
        <w:rPr>
          <w:rFonts w:hint="eastAsia" w:ascii="宋体" w:hAnsi="宋体" w:cs="宋体"/>
          <w:color w:val="000000"/>
          <w:kern w:val="0"/>
          <w:szCs w:val="21"/>
        </w:rPr>
        <w:t>十一五</w:t>
      </w:r>
      <w:r>
        <w:rPr>
          <w:rFonts w:ascii="宋体" w:hAnsi="宋体" w:cs="宋体"/>
          <w:color w:val="000000"/>
          <w:kern w:val="0"/>
          <w:szCs w:val="21"/>
        </w:rPr>
        <w:t xml:space="preserve"> </w:t>
      </w:r>
      <w:r>
        <w:rPr>
          <w:rFonts w:hint="eastAsia" w:ascii="宋体" w:hAnsi="宋体" w:cs="宋体"/>
          <w:color w:val="000000"/>
          <w:kern w:val="0"/>
          <w:szCs w:val="21"/>
        </w:rPr>
        <w:t>经济资料汇编等资料。</w:t>
      </w:r>
    </w:p>
    <w:p>
      <w:pPr>
        <w:widowControl/>
        <w:numPr>
          <w:ilvl w:val="0"/>
          <w:numId w:val="5"/>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充实统计数据</w:t>
      </w:r>
      <w:r>
        <w:rPr>
          <w:rFonts w:ascii="宋体" w:hAnsi="宋体" w:cs="宋体"/>
          <w:color w:val="000000"/>
          <w:kern w:val="0"/>
          <w:szCs w:val="21"/>
        </w:rPr>
        <w:t xml:space="preserve"> </w:t>
      </w:r>
      <w:r>
        <w:rPr>
          <w:rFonts w:hint="eastAsia" w:ascii="宋体" w:hAnsi="宋体" w:cs="宋体"/>
          <w:color w:val="000000"/>
          <w:kern w:val="0"/>
          <w:szCs w:val="21"/>
        </w:rPr>
        <w:t>资料库</w:t>
      </w:r>
      <w:r>
        <w:rPr>
          <w:rFonts w:ascii="宋体" w:hAnsi="宋体" w:cs="宋体"/>
          <w:color w:val="000000"/>
          <w:kern w:val="0"/>
          <w:szCs w:val="21"/>
        </w:rPr>
        <w:t xml:space="preserve"> </w:t>
      </w:r>
      <w:r>
        <w:rPr>
          <w:rFonts w:hint="eastAsia" w:ascii="宋体" w:hAnsi="宋体" w:cs="宋体"/>
          <w:color w:val="000000"/>
          <w:kern w:val="0"/>
          <w:szCs w:val="21"/>
        </w:rPr>
        <w:t>，确保经济发展到哪里统计服务就延伸到哪里。</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（3）建立统计监测</w:t>
      </w:r>
      <w:r>
        <w:rPr>
          <w:rFonts w:ascii="宋体" w:hAnsi="宋体" w:cs="宋体"/>
          <w:color w:val="000000"/>
          <w:kern w:val="0"/>
          <w:szCs w:val="21"/>
        </w:rPr>
        <w:t xml:space="preserve"> </w:t>
      </w:r>
      <w:r>
        <w:rPr>
          <w:rFonts w:hint="eastAsia" w:ascii="宋体" w:hAnsi="宋体" w:cs="宋体"/>
          <w:color w:val="000000"/>
          <w:kern w:val="0"/>
          <w:szCs w:val="21"/>
        </w:rPr>
        <w:t>直通车</w:t>
      </w:r>
      <w:r>
        <w:rPr>
          <w:rFonts w:ascii="宋体" w:hAnsi="宋体" w:cs="宋体"/>
          <w:color w:val="000000"/>
          <w:kern w:val="0"/>
          <w:szCs w:val="21"/>
        </w:rPr>
        <w:t xml:space="preserve"> </w:t>
      </w:r>
      <w:r>
        <w:rPr>
          <w:rFonts w:hint="eastAsia" w:ascii="宋体" w:hAnsi="宋体" w:cs="宋体"/>
          <w:color w:val="000000"/>
          <w:kern w:val="0"/>
          <w:szCs w:val="21"/>
        </w:rPr>
        <w:t>，在各县（市）区选择一至两个乡镇统计站、企业作为监测点，向市局直接报送统计分析，确保快捷有效。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（4）</w:t>
      </w:r>
      <w:r>
        <w:rPr>
          <w:rFonts w:hint="eastAsia" w:ascii="宋体" w:hAnsi="宋体" w:cs="宋体"/>
          <w:color w:val="000000"/>
          <w:kern w:val="0"/>
          <w:szCs w:val="21"/>
        </w:rPr>
        <w:t>成立统计咨询课题组，围绕经济生活中的重点、难点问题，开展专题分析研究，为各级领导决策提供精品服务。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（5）</w:t>
      </w:r>
      <w:r>
        <w:rPr>
          <w:rFonts w:hint="eastAsia" w:ascii="宋体" w:hAnsi="宋体" w:cs="宋体"/>
          <w:color w:val="000000"/>
          <w:kern w:val="0"/>
          <w:szCs w:val="21"/>
        </w:rPr>
        <w:t>加强统计调查和资料开发应用，并组织实施能源调查、居民幸福指数调查等工作，及时提出建议，服务好各级领导决策。</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（6）</w:t>
      </w:r>
      <w:r>
        <w:rPr>
          <w:rFonts w:hint="eastAsia" w:ascii="宋体" w:hAnsi="宋体" w:cs="宋体"/>
          <w:color w:val="000000"/>
          <w:kern w:val="0"/>
          <w:szCs w:val="21"/>
        </w:rPr>
        <w:t>延伸统计为民服务活动，利用统计数据和统计分析，为企业、为社会公众提供更有效的服务</w:t>
      </w:r>
      <w:r>
        <w:rPr>
          <w:rFonts w:hint="eastAsia" w:ascii="宋体" w:hAnsi="宋体" w:cs="宋体"/>
          <w:kern w:val="0"/>
          <w:szCs w:val="21"/>
        </w:rPr>
        <w:t>。</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4、建立科学化的制度方法体系。把统计改革作为推进统计科学发展的强大动力，积极探索统计制度方法改革的新路径。</w:t>
      </w:r>
      <w:r>
        <w:rPr>
          <w:rFonts w:hint="eastAsia" w:ascii="宋体" w:hAnsi="宋体" w:cs="宋体"/>
          <w:b/>
          <w:bCs/>
          <w:kern w:val="0"/>
          <w:szCs w:val="21"/>
        </w:rPr>
        <w:t>一方面，继续深化</w:t>
      </w:r>
      <w:r>
        <w:rPr>
          <w:rFonts w:ascii="宋体" w:hAnsi="宋体" w:cs="宋体"/>
          <w:b/>
          <w:bCs/>
          <w:kern w:val="0"/>
          <w:szCs w:val="21"/>
        </w:rPr>
        <w:t xml:space="preserve"> </w:t>
      </w:r>
      <w:r>
        <w:rPr>
          <w:rFonts w:hint="eastAsia" w:ascii="宋体" w:hAnsi="宋体" w:cs="宋体"/>
          <w:b/>
          <w:bCs/>
          <w:kern w:val="0"/>
          <w:szCs w:val="21"/>
        </w:rPr>
        <w:t>企业一套表</w:t>
      </w:r>
      <w:r>
        <w:rPr>
          <w:rFonts w:ascii="宋体" w:hAnsi="宋体" w:cs="宋体"/>
          <w:b/>
          <w:bCs/>
          <w:kern w:val="0"/>
          <w:szCs w:val="21"/>
        </w:rPr>
        <w:t xml:space="preserve"> </w:t>
      </w:r>
      <w:r>
        <w:rPr>
          <w:rFonts w:hint="eastAsia" w:ascii="宋体" w:hAnsi="宋体" w:cs="宋体"/>
          <w:b/>
          <w:bCs/>
          <w:kern w:val="0"/>
          <w:szCs w:val="21"/>
        </w:rPr>
        <w:t>改革。</w:t>
      </w:r>
      <w:r>
        <w:rPr>
          <w:rFonts w:hint="eastAsia" w:ascii="宋体" w:hAnsi="宋体" w:cs="宋体"/>
          <w:kern w:val="0"/>
          <w:szCs w:val="21"/>
        </w:rPr>
        <w:t>把</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改革作为推进</w:t>
      </w:r>
      <w:r>
        <w:rPr>
          <w:rFonts w:ascii="宋体" w:hAnsi="宋体" w:cs="宋体"/>
          <w:kern w:val="0"/>
          <w:szCs w:val="21"/>
        </w:rPr>
        <w:t xml:space="preserve"> </w:t>
      </w:r>
      <w:r>
        <w:rPr>
          <w:rFonts w:hint="eastAsia" w:ascii="宋体" w:hAnsi="宋体" w:cs="宋体"/>
          <w:kern w:val="0"/>
          <w:szCs w:val="21"/>
        </w:rPr>
        <w:t>四大工程</w:t>
      </w:r>
      <w:r>
        <w:rPr>
          <w:rFonts w:ascii="宋体" w:hAnsi="宋体" w:cs="宋体"/>
          <w:kern w:val="0"/>
          <w:szCs w:val="21"/>
        </w:rPr>
        <w:t xml:space="preserve"> </w:t>
      </w:r>
      <w:r>
        <w:rPr>
          <w:rFonts w:hint="eastAsia" w:ascii="宋体" w:hAnsi="宋体" w:cs="宋体"/>
          <w:kern w:val="0"/>
          <w:szCs w:val="21"/>
        </w:rPr>
        <w:t>的龙头，积极配合省局做好</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改革的推广工作，巩固</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改革成果，及时发现、解决运行中存在的问题，完善系统平台；增加</w:t>
      </w:r>
      <w:r>
        <w:rPr>
          <w:rFonts w:ascii="宋体" w:hAnsi="宋体" w:cs="宋体"/>
          <w:kern w:val="0"/>
          <w:szCs w:val="21"/>
        </w:rPr>
        <w:t xml:space="preserve"> </w:t>
      </w:r>
      <w:r>
        <w:rPr>
          <w:rFonts w:hint="eastAsia" w:ascii="宋体" w:hAnsi="宋体" w:cs="宋体"/>
          <w:kern w:val="0"/>
          <w:szCs w:val="21"/>
        </w:rPr>
        <w:t>一套表</w:t>
      </w:r>
      <w:r>
        <w:rPr>
          <w:rFonts w:ascii="宋体" w:hAnsi="宋体" w:cs="宋体"/>
          <w:kern w:val="0"/>
          <w:szCs w:val="21"/>
        </w:rPr>
        <w:t xml:space="preserve"> </w:t>
      </w:r>
      <w:r>
        <w:rPr>
          <w:rFonts w:hint="eastAsia" w:ascii="宋体" w:hAnsi="宋体" w:cs="宋体"/>
          <w:kern w:val="0"/>
          <w:szCs w:val="21"/>
        </w:rPr>
        <w:t>汇总表、计算表的表式，逐步替代常规统计的程序；扩大贸易专业</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的统计范围，增加规模以下单位的统计；把固定资产投资、服务业、劳资等专业纳入</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试点，全面推广使用</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系统；加强</w:t>
      </w:r>
      <w:r>
        <w:rPr>
          <w:rFonts w:ascii="宋体" w:hAnsi="宋体" w:cs="宋体"/>
          <w:kern w:val="0"/>
          <w:szCs w:val="21"/>
        </w:rPr>
        <w:t xml:space="preserve"> </w:t>
      </w:r>
      <w:r>
        <w:rPr>
          <w:rFonts w:hint="eastAsia" w:ascii="宋体" w:hAnsi="宋体" w:cs="宋体"/>
          <w:kern w:val="0"/>
          <w:szCs w:val="21"/>
        </w:rPr>
        <w:t>企业一套表</w:t>
      </w:r>
      <w:r>
        <w:rPr>
          <w:rFonts w:ascii="宋体" w:hAnsi="宋体" w:cs="宋体"/>
          <w:kern w:val="0"/>
          <w:szCs w:val="21"/>
        </w:rPr>
        <w:t xml:space="preserve"> </w:t>
      </w:r>
      <w:r>
        <w:rPr>
          <w:rFonts w:hint="eastAsia" w:ascii="宋体" w:hAnsi="宋体" w:cs="宋体"/>
          <w:kern w:val="0"/>
          <w:szCs w:val="21"/>
        </w:rPr>
        <w:t>运行管理，搞好数据的审核。</w:t>
      </w:r>
      <w:r>
        <w:rPr>
          <w:rFonts w:hint="eastAsia" w:ascii="宋体" w:hAnsi="宋体" w:cs="宋体"/>
          <w:b/>
          <w:bCs/>
          <w:kern w:val="0"/>
          <w:szCs w:val="21"/>
        </w:rPr>
        <w:t>另一方面，推动文化产业、服务业、贸易业等其它统计方法制度的改革创新。</w:t>
      </w:r>
      <w:r>
        <w:rPr>
          <w:rFonts w:hint="eastAsia" w:ascii="宋体" w:hAnsi="宋体" w:cs="宋体"/>
          <w:kern w:val="0"/>
          <w:szCs w:val="21"/>
        </w:rPr>
        <w:t>建立文化产业统计制度，推进服务业报表制度改革，开展贸易统计改革，继续做好规模以上个体户全面入统和完善限额以下商贸企业抽样调查工作。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5、建立现代化的信息传输体系。</w:t>
      </w:r>
      <w:r>
        <w:rPr>
          <w:rFonts w:hint="eastAsia" w:ascii="宋体" w:hAnsi="宋体" w:cs="宋体"/>
          <w:color w:val="000000"/>
          <w:kern w:val="0"/>
          <w:szCs w:val="21"/>
        </w:rPr>
        <w:t>把统计信息化建设纳入市县电子政务建设规划，按照相关要求，明确建设目标、建设任务和工作进度。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w:t>
      </w:r>
      <w:r>
        <w:rPr>
          <w:rFonts w:ascii="宋体" w:hAnsi="宋体" w:cs="宋体"/>
          <w:b/>
          <w:bCs/>
          <w:kern w:val="0"/>
          <w:szCs w:val="21"/>
        </w:rPr>
        <w:t>1</w:t>
      </w:r>
      <w:r>
        <w:rPr>
          <w:rFonts w:hint="eastAsia" w:ascii="宋体" w:hAnsi="宋体" w:cs="宋体"/>
          <w:b/>
          <w:bCs/>
          <w:kern w:val="0"/>
          <w:szCs w:val="21"/>
        </w:rPr>
        <w:t>）健全网络</w:t>
      </w:r>
      <w:r>
        <w:rPr>
          <w:rFonts w:hint="eastAsia" w:ascii="宋体" w:hAnsi="宋体" w:cs="宋体"/>
          <w:color w:val="000000"/>
          <w:kern w:val="0"/>
          <w:szCs w:val="21"/>
        </w:rPr>
        <w:t>。充分利用现有网络平台资源，改造升级省、市、县三级统计信息网络系统和信息安全系统，加快市</w:t>
      </w:r>
      <w:r>
        <w:rPr>
          <w:rFonts w:ascii="宋体" w:hAnsi="宋体" w:cs="宋体"/>
          <w:color w:val="000000"/>
          <w:kern w:val="0"/>
          <w:szCs w:val="21"/>
        </w:rPr>
        <w:t>-</w:t>
      </w:r>
      <w:r>
        <w:rPr>
          <w:rFonts w:hint="eastAsia" w:ascii="宋体" w:hAnsi="宋体" w:cs="宋体"/>
          <w:color w:val="000000"/>
          <w:kern w:val="0"/>
          <w:szCs w:val="21"/>
        </w:rPr>
        <w:t>县间计算机网络扩容、改造工作的步伐。大规模提升乡镇（街道）统计站计算机和网络装备水平，并确保全市乡镇（街道）统计站人均拥有一台计算机。</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color w:val="000000"/>
          <w:kern w:val="0"/>
          <w:szCs w:val="21"/>
        </w:rPr>
      </w:pP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kern w:val="0"/>
          <w:szCs w:val="21"/>
        </w:rPr>
        <w:t>）建设视频会议系统。</w:t>
      </w:r>
      <w:r>
        <w:rPr>
          <w:rFonts w:hint="eastAsia" w:ascii="宋体" w:hAnsi="宋体" w:cs="宋体"/>
          <w:color w:val="000000"/>
          <w:kern w:val="0"/>
          <w:szCs w:val="21"/>
        </w:rPr>
        <w:t>在市县之间建设视频会议系统</w:t>
      </w:r>
      <w:r>
        <w:rPr>
          <w:rFonts w:hint="eastAsia" w:ascii="宋体" w:hAnsi="宋体" w:cs="宋体"/>
          <w:b/>
          <w:bCs/>
          <w:kern w:val="0"/>
          <w:szCs w:val="21"/>
        </w:rPr>
        <w:t>，</w:t>
      </w:r>
      <w:r>
        <w:rPr>
          <w:rFonts w:hint="eastAsia" w:ascii="宋体" w:hAnsi="宋体" w:cs="宋体"/>
          <w:color w:val="000000"/>
          <w:kern w:val="0"/>
          <w:szCs w:val="21"/>
        </w:rPr>
        <w:t>力争上半年完成，确保视频会议系统使用的高效率、高质量、高标准。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6、建立强势化的统计执法体系。</w:t>
      </w:r>
      <w:r>
        <w:rPr>
          <w:rFonts w:hint="eastAsia" w:ascii="宋体" w:hAnsi="宋体" w:cs="宋体"/>
          <w:color w:val="000000"/>
          <w:kern w:val="0"/>
          <w:szCs w:val="21"/>
        </w:rPr>
        <w:t>加大统计法制贯彻执行的力度，力求做到</w:t>
      </w:r>
      <w:r>
        <w:rPr>
          <w:rFonts w:ascii="宋体" w:hAnsi="宋体" w:cs="宋体"/>
          <w:color w:val="000000"/>
          <w:kern w:val="0"/>
          <w:szCs w:val="21"/>
        </w:rPr>
        <w:t xml:space="preserve"> </w:t>
      </w:r>
      <w:r>
        <w:rPr>
          <w:rFonts w:hint="eastAsia" w:ascii="宋体" w:hAnsi="宋体" w:cs="宋体"/>
          <w:color w:val="000000"/>
          <w:kern w:val="0"/>
          <w:szCs w:val="21"/>
        </w:rPr>
        <w:t>三个全覆盖</w:t>
      </w:r>
      <w:r>
        <w:rPr>
          <w:rFonts w:ascii="宋体" w:hAnsi="宋体" w:cs="宋体"/>
          <w:color w:val="000000"/>
          <w:kern w:val="0"/>
          <w:szCs w:val="21"/>
        </w:rPr>
        <w:t xml:space="preserve"> </w:t>
      </w:r>
      <w:r>
        <w:rPr>
          <w:rFonts w:hint="eastAsia" w:ascii="宋体" w:hAnsi="宋体" w:cs="宋体"/>
          <w:color w:val="000000"/>
          <w:kern w:val="0"/>
          <w:szCs w:val="21"/>
        </w:rPr>
        <w:t>：</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（1）法制宣传全覆盖。</w:t>
      </w:r>
      <w:r>
        <w:rPr>
          <w:rFonts w:hint="eastAsia" w:ascii="宋体" w:hAnsi="宋体" w:cs="宋体"/>
          <w:color w:val="000000"/>
          <w:kern w:val="0"/>
          <w:szCs w:val="21"/>
        </w:rPr>
        <w:t>继续深入开展《统计违法违纪行为处分规定》和《统计法》宣传，采取办班宣传、借助媒体宣传、扩大网络宣传、印发</w:t>
      </w:r>
      <w:r>
        <w:rPr>
          <w:rFonts w:ascii="宋体" w:hAnsi="宋体" w:cs="宋体"/>
          <w:color w:val="000000"/>
          <w:kern w:val="0"/>
          <w:szCs w:val="21"/>
        </w:rPr>
        <w:t xml:space="preserve"> </w:t>
      </w:r>
      <w:r>
        <w:rPr>
          <w:rFonts w:hint="eastAsia" w:ascii="宋体" w:hAnsi="宋体" w:cs="宋体"/>
          <w:color w:val="000000"/>
          <w:kern w:val="0"/>
          <w:szCs w:val="21"/>
        </w:rPr>
        <w:t>明白纸</w:t>
      </w:r>
      <w:r>
        <w:rPr>
          <w:rFonts w:ascii="宋体" w:hAnsi="宋体" w:cs="宋体"/>
          <w:color w:val="000000"/>
          <w:kern w:val="0"/>
          <w:szCs w:val="21"/>
        </w:rPr>
        <w:t xml:space="preserve"> </w:t>
      </w:r>
      <w:r>
        <w:rPr>
          <w:rFonts w:hint="eastAsia" w:ascii="宋体" w:hAnsi="宋体" w:cs="宋体"/>
          <w:color w:val="000000"/>
          <w:kern w:val="0"/>
          <w:szCs w:val="21"/>
        </w:rPr>
        <w:t>宣传、组团宣传等多种方法，力求使社会各界对统计工作更加了解，对统计工作更加支持。</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（2）法制教育全覆盖。</w:t>
      </w:r>
      <w:r>
        <w:rPr>
          <w:rFonts w:hint="eastAsia" w:ascii="宋体" w:hAnsi="宋体" w:cs="宋体"/>
          <w:color w:val="000000"/>
          <w:kern w:val="0"/>
          <w:szCs w:val="21"/>
        </w:rPr>
        <w:t>除市局组织举办一次大型的法制培训班外，开展法制教育</w:t>
      </w:r>
      <w:r>
        <w:rPr>
          <w:rFonts w:ascii="宋体" w:hAnsi="宋体" w:cs="宋体"/>
          <w:color w:val="000000"/>
          <w:kern w:val="0"/>
          <w:szCs w:val="21"/>
        </w:rPr>
        <w:t xml:space="preserve"> </w:t>
      </w:r>
      <w:r>
        <w:rPr>
          <w:rFonts w:hint="eastAsia" w:ascii="宋体" w:hAnsi="宋体" w:cs="宋体"/>
          <w:color w:val="000000"/>
          <w:kern w:val="0"/>
          <w:szCs w:val="21"/>
        </w:rPr>
        <w:t>五进</w:t>
      </w:r>
      <w:r>
        <w:rPr>
          <w:rFonts w:ascii="宋体" w:hAnsi="宋体" w:cs="宋体"/>
          <w:color w:val="000000"/>
          <w:kern w:val="0"/>
          <w:szCs w:val="21"/>
        </w:rPr>
        <w:t xml:space="preserve"> </w:t>
      </w:r>
      <w:r>
        <w:rPr>
          <w:rFonts w:hint="eastAsia" w:ascii="宋体" w:hAnsi="宋体" w:cs="宋体"/>
          <w:color w:val="000000"/>
          <w:kern w:val="0"/>
          <w:szCs w:val="21"/>
        </w:rPr>
        <w:t>活动，即进课堂、进机关、进企业、进家庭、进基层，增强全社会依法统计意识，提高统计人员执法能力。</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Times New Roman" w:hAnsi="Times New Roman"/>
          <w:color w:val="000000"/>
          <w:kern w:val="0"/>
          <w:szCs w:val="21"/>
        </w:rPr>
      </w:pPr>
      <w:r>
        <w:rPr>
          <w:rFonts w:hint="eastAsia" w:ascii="宋体" w:hAnsi="宋体" w:cs="宋体"/>
          <w:b/>
          <w:bCs/>
          <w:kern w:val="0"/>
          <w:szCs w:val="21"/>
        </w:rPr>
        <w:t>（3）执法检查全覆盖。</w:t>
      </w:r>
      <w:r>
        <w:rPr>
          <w:rFonts w:hint="eastAsia" w:ascii="宋体" w:hAnsi="宋体" w:cs="宋体"/>
          <w:color w:val="000000"/>
          <w:kern w:val="0"/>
          <w:szCs w:val="21"/>
        </w:rPr>
        <w:t>把统计执法检查贯穿全年工作始终，执法范围覆盖到每个统计单位，定期开展专项统计执法检查、集中开展统计执法大检查，坚决查处瞒报、漏报、虚报、篡改等统计违法行为，积极创造良好的统计法制环境。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color w:val="000000"/>
          <w:kern w:val="0"/>
          <w:szCs w:val="21"/>
        </w:rPr>
      </w:pPr>
      <w:r>
        <w:rPr>
          <w:rFonts w:hint="eastAsia" w:ascii="宋体" w:hAnsi="宋体" w:cs="宋体"/>
          <w:kern w:val="0"/>
          <w:szCs w:val="21"/>
        </w:rPr>
        <w:t>7、建立精细化的内部管理体系。</w:t>
      </w:r>
      <w:r>
        <w:rPr>
          <w:rFonts w:hint="eastAsia" w:ascii="宋体" w:hAnsi="宋体" w:cs="宋体"/>
          <w:b/>
          <w:bCs/>
          <w:kern w:val="0"/>
          <w:szCs w:val="21"/>
        </w:rPr>
        <w:t>推进干部管理精细化。</w:t>
      </w:r>
      <w:r>
        <w:rPr>
          <w:rFonts w:hint="eastAsia" w:ascii="宋体" w:hAnsi="宋体" w:cs="宋体"/>
          <w:color w:val="000000"/>
          <w:kern w:val="0"/>
          <w:szCs w:val="21"/>
        </w:rPr>
        <w:t>以推进学习型党组织建设、深化</w:t>
      </w:r>
      <w:r>
        <w:rPr>
          <w:rFonts w:ascii="宋体" w:hAnsi="宋体" w:cs="宋体"/>
          <w:color w:val="000000"/>
          <w:kern w:val="0"/>
          <w:szCs w:val="21"/>
        </w:rPr>
        <w:t xml:space="preserve"> </w:t>
      </w:r>
      <w:r>
        <w:rPr>
          <w:rFonts w:hint="eastAsia" w:ascii="宋体" w:hAnsi="宋体" w:cs="宋体"/>
          <w:color w:val="000000"/>
          <w:kern w:val="0"/>
          <w:szCs w:val="21"/>
        </w:rPr>
        <w:t>创先争优</w:t>
      </w:r>
      <w:r>
        <w:rPr>
          <w:rFonts w:ascii="宋体" w:hAnsi="宋体" w:cs="宋体"/>
          <w:color w:val="000000"/>
          <w:kern w:val="0"/>
          <w:szCs w:val="21"/>
        </w:rPr>
        <w:t xml:space="preserve"> </w:t>
      </w:r>
      <w:r>
        <w:rPr>
          <w:rFonts w:hint="eastAsia" w:ascii="宋体" w:hAnsi="宋体" w:cs="宋体"/>
          <w:color w:val="000000"/>
          <w:kern w:val="0"/>
          <w:szCs w:val="21"/>
        </w:rPr>
        <w:t>活动和</w:t>
      </w:r>
      <w:r>
        <w:rPr>
          <w:rFonts w:ascii="宋体" w:hAnsi="宋体" w:cs="宋体"/>
          <w:color w:val="000000"/>
          <w:kern w:val="0"/>
          <w:szCs w:val="21"/>
        </w:rPr>
        <w:t xml:space="preserve"> </w:t>
      </w:r>
      <w:r>
        <w:rPr>
          <w:rFonts w:hint="eastAsia" w:ascii="宋体" w:hAnsi="宋体" w:cs="宋体"/>
          <w:color w:val="000000"/>
          <w:kern w:val="0"/>
          <w:szCs w:val="21"/>
        </w:rPr>
        <w:t>“五讲五提升</w:t>
      </w:r>
      <w:r>
        <w:rPr>
          <w:rFonts w:ascii="宋体" w:hAnsi="宋体" w:cs="宋体"/>
          <w:color w:val="000000"/>
          <w:kern w:val="0"/>
          <w:szCs w:val="21"/>
        </w:rPr>
        <w:t xml:space="preserve"> </w:t>
      </w:r>
      <w:r>
        <w:rPr>
          <w:rFonts w:hint="eastAsia" w:ascii="宋体" w:hAnsi="宋体" w:cs="宋体"/>
          <w:color w:val="000000"/>
          <w:kern w:val="0"/>
          <w:szCs w:val="21"/>
        </w:rPr>
        <w:t>活动为抓手，具体打造学习型、服务型、创新型、规范型、示范型等</w:t>
      </w:r>
      <w:r>
        <w:rPr>
          <w:rFonts w:ascii="宋体" w:hAnsi="宋体" w:cs="宋体"/>
          <w:color w:val="000000"/>
          <w:kern w:val="0"/>
          <w:szCs w:val="21"/>
        </w:rPr>
        <w:t xml:space="preserve"> </w:t>
      </w:r>
      <w:r>
        <w:rPr>
          <w:rFonts w:hint="eastAsia" w:ascii="宋体" w:hAnsi="宋体" w:cs="宋体"/>
          <w:color w:val="000000"/>
          <w:kern w:val="0"/>
          <w:szCs w:val="21"/>
        </w:rPr>
        <w:t>五型</w:t>
      </w:r>
      <w:r>
        <w:rPr>
          <w:rFonts w:ascii="宋体" w:hAnsi="宋体" w:cs="宋体"/>
          <w:color w:val="000000"/>
          <w:kern w:val="0"/>
          <w:szCs w:val="21"/>
        </w:rPr>
        <w:t xml:space="preserve"> </w:t>
      </w:r>
      <w:r>
        <w:rPr>
          <w:rFonts w:hint="eastAsia" w:ascii="宋体" w:hAnsi="宋体" w:cs="宋体"/>
          <w:color w:val="000000"/>
          <w:kern w:val="0"/>
          <w:szCs w:val="21"/>
        </w:rPr>
        <w:t>团队，全面提高整体素质。</w:t>
      </w:r>
      <w:r>
        <w:rPr>
          <w:rFonts w:hint="eastAsia" w:ascii="宋体" w:hAnsi="宋体" w:cs="宋体"/>
          <w:b/>
          <w:bCs/>
          <w:kern w:val="0"/>
          <w:szCs w:val="21"/>
        </w:rPr>
        <w:t>推进工作管理精细化。</w:t>
      </w:r>
      <w:r>
        <w:rPr>
          <w:rFonts w:hint="eastAsia" w:ascii="宋体" w:hAnsi="宋体" w:cs="宋体"/>
          <w:color w:val="000000"/>
          <w:kern w:val="0"/>
          <w:szCs w:val="21"/>
        </w:rPr>
        <w:t>对各项工作制度进行全面梳理、完善，按照精简程序、理清环节、分清责任、明确标准的要求，细化工作标准，规范工作流程，制定出标准工作流程，使每一项工作都做到过程清晰、责任明确。</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pPr>
      <w:r>
        <w:rPr>
          <w:rFonts w:hint="eastAsia" w:ascii="宋体" w:hAnsi="宋体" w:cs="宋体"/>
          <w:kern w:val="0"/>
          <w:szCs w:val="21"/>
        </w:rPr>
        <w:t>8、高质量完成人口普查和各项统计调查任务。</w:t>
      </w:r>
      <w:r>
        <w:rPr>
          <w:rFonts w:hint="eastAsia" w:ascii="宋体" w:hAnsi="宋体" w:cs="宋体"/>
          <w:color w:val="000000"/>
          <w:kern w:val="0"/>
          <w:szCs w:val="21"/>
        </w:rPr>
        <w:t>认真做好第六次全国人口普查后期工作。精心组织人口普查数据处理，逐级按时完成数据审核、校正和上报工作，加强数据质量控制，认真做好分地区、分结构指标数据的研究、评估和分析工作，切实加强普查表管理，做好人口普查主要数据发布、总结表彰工作。搞好普查资料开发应用，发挥普查资料价值和社会效益。扎实做好各项常规统计调查工作，坚持科学统计、依法统计，确保数据质量，反映经济社会发展实际。认真做好</w:t>
      </w:r>
      <w:r>
        <w:rPr>
          <w:rFonts w:ascii="宋体" w:hAnsi="宋体" w:cs="宋体"/>
          <w:color w:val="000000"/>
          <w:kern w:val="0"/>
          <w:szCs w:val="21"/>
        </w:rPr>
        <w:t>R&amp;D</w:t>
      </w:r>
      <w:r>
        <w:rPr>
          <w:rFonts w:hint="eastAsia" w:ascii="宋体" w:hAnsi="宋体" w:cs="宋体"/>
          <w:color w:val="000000"/>
          <w:kern w:val="0"/>
          <w:szCs w:val="21"/>
        </w:rPr>
        <w:t>资源清查数据研究和资料开发等相关工作，建立第二次河北省</w:t>
      </w:r>
      <w:r>
        <w:rPr>
          <w:rFonts w:ascii="宋体" w:hAnsi="宋体" w:cs="宋体"/>
          <w:color w:val="000000"/>
          <w:kern w:val="0"/>
          <w:szCs w:val="21"/>
        </w:rPr>
        <w:t>R&amp;D</w:t>
      </w:r>
      <w:r>
        <w:rPr>
          <w:rFonts w:hint="eastAsia" w:ascii="宋体" w:hAnsi="宋体" w:cs="宋体"/>
          <w:color w:val="000000"/>
          <w:kern w:val="0"/>
          <w:szCs w:val="21"/>
        </w:rPr>
        <w:t>资源清查数据库。</w:t>
      </w:r>
    </w:p>
    <w:p>
      <w:pPr>
        <w:spacing w:line="360" w:lineRule="auto"/>
        <w:ind w:firstLine="420" w:firstLineChars="200"/>
      </w:pPr>
      <w:r>
        <w:rPr>
          <w:rFonts w:hint="eastAsia"/>
        </w:rPr>
        <w:t>9、自2016年开展第三次全国农业普查工作。农业普查是一项重大国情国力调查，主要是为了清查农业、农村和农民基本情况，掌握农村土地流转、农业生产、新型农业经营主体，农业规模化和产业化等情况，反应农村发展新面貌和农村生活新变化，对科学制定“三农政策”。促进实现农业现代化、全面建设小康社会，具有十分重要意义。整个普查分为三个阶段：从现在起至2016年底为第三次全国农业普查准备阶段，主要包括：机构组建、试点、各种物资准备、制定普查实施方案、各项工作细则、前期宣传工作、 调查员选调、培训、小区划分等工作；2017年1月——10月为第二阶段，只要包括：普查入户登记、复查、编码、事后质量抽查等工作；2017年11月——2018年底为第三阶段，主要包括：数据处理、数据评估、数据发布、资料开发应用、总结表彰等工作。</w:t>
      </w:r>
    </w:p>
    <w:p>
      <w:pPr>
        <w:spacing w:line="360" w:lineRule="auto"/>
        <w:jc w:val="left"/>
        <w:sectPr>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收支预算总表</w:t>
      </w:r>
    </w:p>
    <w:tbl>
      <w:tblPr>
        <w:tblW w:w="9379" w:type="dxa"/>
        <w:jc w:val="center"/>
        <w:tblInd w:w="-40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96"/>
        <w:gridCol w:w="4961"/>
        <w:gridCol w:w="3022"/>
      </w:tblGrid>
      <w:tr>
        <w:trPr>
          <w:cantSplit/>
          <w:trHeight w:val="312" w:hRule="atLeast"/>
          <w:tblHeader/>
          <w:jc w:val="center"/>
        </w:trPr>
        <w:tc>
          <w:tcPr>
            <w:tcW w:w="6357" w:type="dxa"/>
            <w:gridSpan w:val="2"/>
            <w:tcBorders>
              <w:bottom w:val="single" w:color="auto" w:sz="4" w:space="0"/>
            </w:tcBorders>
            <w:vAlign w:val="center"/>
          </w:tcPr>
          <w:p>
            <w:pPr>
              <w:widowControl/>
              <w:jc w:val="left"/>
              <w:rPr>
                <w:rFonts w:ascii="黑体" w:eastAsia="黑体"/>
                <w:b/>
              </w:rPr>
            </w:pPr>
            <w:r>
              <w:rPr>
                <w:rFonts w:ascii="宋体" w:hAnsi="宋体"/>
                <w:sz w:val="28"/>
              </w:rPr>
              <w:t>212002唐山市统计局</w:t>
            </w:r>
          </w:p>
        </w:tc>
        <w:tc>
          <w:tcPr>
            <w:tcW w:w="3022" w:type="dxa"/>
            <w:tcBorders>
              <w:bottom w:val="single" w:color="auto" w:sz="4" w:space="0"/>
            </w:tcBorders>
            <w:vAlign w:val="center"/>
          </w:tcPr>
          <w:p>
            <w:pPr>
              <w:widowControl/>
              <w:jc w:val="right"/>
              <w:rPr>
                <w:rFonts w:ascii="黑体" w:eastAsia="黑体"/>
                <w:b/>
              </w:rPr>
            </w:pPr>
            <w:r>
              <w:rPr>
                <w:rFonts w:ascii="宋体" w:hAnsi="宋体"/>
                <w:sz w:val="24"/>
              </w:rPr>
              <w:t>单位：万元</w:t>
            </w:r>
          </w:p>
        </w:tc>
      </w:tr>
      <w:tr>
        <w:trPr>
          <w:cantSplit/>
          <w:trHeight w:val="312" w:hRule="atLeast"/>
          <w:tblHeader/>
          <w:jc w:val="center"/>
        </w:trPr>
        <w:tc>
          <w:tcPr>
            <w:tcW w:w="1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项目代码</w:t>
            </w:r>
          </w:p>
        </w:tc>
        <w:tc>
          <w:tcPr>
            <w:tcW w:w="4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预算收支项目</w:t>
            </w:r>
          </w:p>
        </w:tc>
        <w:tc>
          <w:tcPr>
            <w:tcW w:w="30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预算金额</w:t>
            </w:r>
          </w:p>
        </w:tc>
      </w:tr>
      <w:tr>
        <w:trPr>
          <w:cantSplit/>
          <w:trHeight w:val="312" w:hRule="atLeast"/>
          <w:tblHeader/>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c>
          <w:tcPr>
            <w:tcW w:w="30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r>
      <w:tr>
        <w:trPr>
          <w:cantSplit/>
          <w:trHeight w:val="312" w:hRule="atLeast"/>
          <w:tblHeader/>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p>
        </w:tc>
        <w:tc>
          <w:tcPr>
            <w:tcW w:w="3022"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632.67</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一般公共预算拨款</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632.67</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其中：财政拨款（补助）收入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627.67</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行政事业性收费</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罚没收入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国有资源（资产）有偿使用收入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国有资本经营收入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债务收入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上级转移支付资金</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其中：一般性转移支付</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专项转移支付</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其他</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政府性基金预算收入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国有资本经营预算收入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其他来源收入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其中：事业收入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上级补助收入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附属单位上缴收入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用事业基金弥补收支差额</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其他收入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预算支出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632.67</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人员经费支出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536.8</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其中：工资福利支出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438.85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对个人和家庭补助</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97.95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95.87</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其中：正常公用经费支出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78.19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17.68</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专项项目支出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其他支出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结    余</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bl>
    <w:p>
      <w:pPr>
        <w:spacing w:line="20" w:lineRule="exact"/>
        <w:jc w:val="left"/>
      </w:pPr>
    </w:p>
    <w:p>
      <w:pPr>
        <w:spacing w:line="360" w:lineRule="auto"/>
        <w:jc w:val="left"/>
        <w:sectPr>
          <w:headerReference r:id="rId21" w:type="default"/>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人员经费预算</w:t>
      </w:r>
    </w:p>
    <w:tbl>
      <w:tblPr>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
        <w:gridCol w:w="1436"/>
        <w:gridCol w:w="1417"/>
        <w:gridCol w:w="4253"/>
        <w:gridCol w:w="1417"/>
        <w:gridCol w:w="1418"/>
        <w:gridCol w:w="489"/>
        <w:gridCol w:w="928"/>
        <w:gridCol w:w="1276"/>
        <w:gridCol w:w="1180"/>
        <w:gridCol w:w="180"/>
      </w:tblGrid>
      <w:tr>
        <w:trPr>
          <w:gridAfter w:val="1"/>
          <w:wAfter w:w="180" w:type="dxa"/>
          <w:cantSplit/>
          <w:trHeight w:val="285" w:hRule="atLeast"/>
          <w:tblHeader/>
          <w:jc w:val="center"/>
        </w:trPr>
        <w:tc>
          <w:tcPr>
            <w:tcW w:w="10523" w:type="dxa"/>
            <w:gridSpan w:val="7"/>
            <w:tcBorders>
              <w:top w:val="nil"/>
              <w:left w:val="nil"/>
              <w:bottom w:val="nil"/>
              <w:right w:val="nil"/>
            </w:tcBorders>
            <w:shd w:val="clear" w:color="auto" w:fill="auto"/>
            <w:vAlign w:val="center"/>
          </w:tcPr>
          <w:p>
            <w:pPr>
              <w:widowControl/>
              <w:jc w:val="left"/>
              <w:rPr>
                <w:rFonts w:ascii="黑体" w:eastAsia="黑体"/>
                <w:b/>
              </w:rPr>
            </w:pPr>
            <w:r>
              <w:rPr>
                <w:rFonts w:ascii="宋体" w:hAnsi="宋体"/>
                <w:sz w:val="28"/>
              </w:rPr>
              <w:t>212002唐山市统计局</w:t>
            </w:r>
          </w:p>
        </w:tc>
        <w:tc>
          <w:tcPr>
            <w:tcW w:w="3384" w:type="dxa"/>
            <w:gridSpan w:val="3"/>
            <w:tcBorders>
              <w:top w:val="nil"/>
              <w:left w:val="nil"/>
              <w:bottom w:val="nil"/>
              <w:right w:val="nil"/>
            </w:tcBorders>
            <w:shd w:val="clear" w:color="000000" w:fill="FFFFFF"/>
            <w:vAlign w:val="center"/>
          </w:tcPr>
          <w:p>
            <w:pPr>
              <w:widowControl/>
              <w:jc w:val="right"/>
              <w:rPr>
                <w:rFonts w:ascii="黑体" w:eastAsia="黑体"/>
                <w:b/>
              </w:rPr>
            </w:pPr>
            <w:r>
              <w:rPr>
                <w:rFonts w:ascii="宋体" w:hAnsi="宋体"/>
                <w:sz w:val="24"/>
              </w:rPr>
              <w:t>单位：万元</w:t>
            </w:r>
          </w:p>
        </w:tc>
      </w:tr>
      <w:tr>
        <w:trPr>
          <w:gridBefore w:val="1"/>
          <w:wBefore w:w="93" w:type="dxa"/>
          <w:cantSplit/>
          <w:trHeight w:val="256" w:hRule="atLeast"/>
          <w:tblHeader/>
          <w:jc w:val="center"/>
        </w:trPr>
        <w:tc>
          <w:tcPr>
            <w:tcW w:w="1436"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功能分类科目编码</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经济分类科目编码</w:t>
            </w:r>
          </w:p>
        </w:tc>
        <w:tc>
          <w:tcPr>
            <w:tcW w:w="4253"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预算支出项目</w:t>
            </w:r>
          </w:p>
        </w:tc>
        <w:tc>
          <w:tcPr>
            <w:tcW w:w="6888" w:type="dxa"/>
            <w:gridSpan w:val="7"/>
            <w:vAlign w:val="center"/>
          </w:tcPr>
          <w:p>
            <w:pPr>
              <w:widowControl/>
              <w:jc w:val="center"/>
              <w:rPr>
                <w:rFonts w:ascii="黑体" w:hAnsi="黑体" w:eastAsia="黑体" w:cs="宋体"/>
                <w:b/>
                <w:color w:val="000000"/>
                <w:kern w:val="0"/>
                <w:szCs w:val="21"/>
              </w:rPr>
            </w:pPr>
            <w:r>
              <w:rPr>
                <w:rFonts w:hint="eastAsia" w:ascii="黑体" w:eastAsia="黑体"/>
                <w:b/>
              </w:rPr>
              <w:t>经 费 来 源</w:t>
            </w:r>
          </w:p>
        </w:tc>
      </w:tr>
      <w:tr>
        <w:trPr>
          <w:gridBefore w:val="1"/>
          <w:wBefore w:w="93" w:type="dxa"/>
          <w:cantSplit/>
          <w:trHeight w:val="312" w:hRule="atLeast"/>
          <w:tblHeader/>
          <w:jc w:val="center"/>
        </w:trPr>
        <w:tc>
          <w:tcPr>
            <w:tcW w:w="1436" w:type="dxa"/>
            <w:vMerge w:val="continue"/>
            <w:vAlign w:val="center"/>
          </w:tcPr>
          <w:p>
            <w:pPr>
              <w:widowControl/>
              <w:jc w:val="center"/>
              <w:rPr>
                <w:rFonts w:ascii="黑体" w:hAnsi="黑体" w:eastAsia="黑体" w:cs="宋体"/>
                <w:b/>
                <w:color w:val="000000"/>
                <w:kern w:val="0"/>
                <w:szCs w:val="21"/>
              </w:rPr>
            </w:pPr>
          </w:p>
        </w:tc>
        <w:tc>
          <w:tcPr>
            <w:tcW w:w="1417" w:type="dxa"/>
            <w:vMerge w:val="continue"/>
            <w:vAlign w:val="center"/>
          </w:tcPr>
          <w:p>
            <w:pPr>
              <w:widowControl/>
              <w:jc w:val="center"/>
              <w:rPr>
                <w:rFonts w:ascii="黑体" w:hAnsi="黑体" w:eastAsia="黑体" w:cs="宋体"/>
                <w:b/>
                <w:color w:val="000000"/>
                <w:kern w:val="0"/>
                <w:szCs w:val="21"/>
              </w:rPr>
            </w:pPr>
          </w:p>
        </w:tc>
        <w:tc>
          <w:tcPr>
            <w:tcW w:w="4253" w:type="dxa"/>
            <w:vMerge w:val="continue"/>
            <w:vAlign w:val="center"/>
          </w:tcPr>
          <w:p>
            <w:pPr>
              <w:widowControl/>
              <w:jc w:val="center"/>
              <w:rPr>
                <w:rFonts w:ascii="黑体" w:hAnsi="黑体" w:eastAsia="黑体" w:cs="宋体"/>
                <w:b/>
                <w:color w:val="000000"/>
                <w:kern w:val="0"/>
                <w:szCs w:val="21"/>
              </w:rPr>
            </w:pP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合 计</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一般公共预算拨款安排</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政府性基金预算拨款安排</w:t>
            </w:r>
          </w:p>
        </w:tc>
        <w:tc>
          <w:tcPr>
            <w:tcW w:w="127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360"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其他来源收入安排</w:t>
            </w:r>
          </w:p>
        </w:tc>
      </w:tr>
      <w:tr>
        <w:trPr>
          <w:gridBefore w:val="1"/>
          <w:wBefore w:w="93" w:type="dxa"/>
          <w:cantSplit/>
          <w:trHeight w:val="312" w:hRule="atLeast"/>
          <w:tblHeader/>
          <w:jc w:val="center"/>
        </w:trPr>
        <w:tc>
          <w:tcPr>
            <w:tcW w:w="1436"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4253"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1418" w:type="dxa"/>
            <w:vMerge w:val="continue"/>
            <w:vAlign w:val="center"/>
          </w:tcPr>
          <w:p>
            <w:pPr>
              <w:widowControl/>
              <w:jc w:val="center"/>
              <w:rPr>
                <w:rFonts w:ascii="宋体" w:hAnsi="宋体" w:cs="宋体"/>
                <w:color w:val="000000"/>
                <w:kern w:val="0"/>
                <w:sz w:val="22"/>
              </w:rPr>
            </w:pPr>
          </w:p>
        </w:tc>
        <w:tc>
          <w:tcPr>
            <w:tcW w:w="1417" w:type="dxa"/>
            <w:gridSpan w:val="2"/>
            <w:vMerge w:val="continue"/>
            <w:vAlign w:val="center"/>
          </w:tcPr>
          <w:p>
            <w:pPr>
              <w:widowControl/>
              <w:jc w:val="center"/>
              <w:rPr>
                <w:rFonts w:ascii="宋体" w:hAnsi="宋体" w:cs="宋体"/>
                <w:color w:val="000000"/>
                <w:kern w:val="0"/>
                <w:sz w:val="22"/>
              </w:rPr>
            </w:pPr>
          </w:p>
        </w:tc>
        <w:tc>
          <w:tcPr>
            <w:tcW w:w="1276" w:type="dxa"/>
            <w:vMerge w:val="continue"/>
            <w:vAlign w:val="center"/>
          </w:tcPr>
          <w:p>
            <w:pPr>
              <w:widowControl/>
              <w:jc w:val="center"/>
              <w:rPr>
                <w:rFonts w:ascii="宋体" w:hAnsi="宋体" w:cs="宋体"/>
                <w:color w:val="000000"/>
                <w:kern w:val="0"/>
                <w:sz w:val="22"/>
              </w:rPr>
            </w:pPr>
          </w:p>
        </w:tc>
        <w:tc>
          <w:tcPr>
            <w:tcW w:w="1360" w:type="dxa"/>
            <w:gridSpan w:val="2"/>
            <w:vMerge w:val="continue"/>
            <w:vAlign w:val="center"/>
          </w:tcPr>
          <w:p>
            <w:pPr>
              <w:widowControl/>
              <w:jc w:val="center"/>
              <w:rPr>
                <w:rFonts w:ascii="宋体" w:hAnsi="宋体" w:cs="宋体"/>
                <w:color w:val="000000"/>
                <w:kern w:val="0"/>
                <w:sz w:val="22"/>
              </w:rPr>
            </w:pPr>
          </w:p>
        </w:tc>
      </w:tr>
      <w:tr>
        <w:trPr>
          <w:gridBefore w:val="1"/>
          <w:wBefore w:w="93" w:type="dxa"/>
          <w:cantSplit/>
          <w:trHeight w:val="312" w:hRule="atLeast"/>
          <w:tblHeader/>
          <w:jc w:val="center"/>
        </w:trPr>
        <w:tc>
          <w:tcPr>
            <w:tcW w:w="1436"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left"/>
              <w:rPr>
                <w:rFonts w:ascii="宋体" w:hAnsi="宋体" w:cs="宋体"/>
                <w:color w:val="000000"/>
                <w:kern w:val="0"/>
                <w:szCs w:val="21"/>
              </w:rPr>
            </w:pPr>
          </w:p>
        </w:tc>
        <w:tc>
          <w:tcPr>
            <w:tcW w:w="4253"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1360" w:type="dxa"/>
            <w:gridSpan w:val="2"/>
            <w:vMerge w:val="continue"/>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人员经费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536.80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536.80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一、工资福利支出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438.85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438.85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1、基本工资</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145.20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145.20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2、津贴补贴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129.55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129.55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1）地区附加津贴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123.18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123.18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工作津贴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49.27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49.27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生活补贴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73.91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73.91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增发津补贴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2）（特殊）岗位津贴（补贴）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0.53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0.53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3）规范津补贴后仍继续保留的补贴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0.08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0.08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回族补贴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职工劳模荣誉津贴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0.08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0.08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4）上述项目之外的津贴补贴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5.76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5.76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通讯费补贴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5.29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5.29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女职工卫生费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0.47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0.47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3、奖金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12.10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12.10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4、社会保障缴费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152.00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152.00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2080505</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30108</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1）基本养老保险费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56.10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56.10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2080506</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2）职业年金缴费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22.44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22.44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2101101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3）基本医疗保险费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72.76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72.76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4）事业单位失业保险</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5）事业单位工伤保险</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6）职工生育保险费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0.70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0.70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5、绩效工资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1）基础性绩效工资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2）奖励性绩效工资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3）事业单位上年度12月份基本工资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6、其他工资福利支出</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1）人事代理人员工资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2）劳务派遣人员工资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3）其他编外人员工资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4）病假两个月以上期间的人员工资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5）教师超工作量津贴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6）各种加班工资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7）预留人员经费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二、对个人和家庭的补助</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97.95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97.95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1、离休费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1.28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1.28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30302</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2、退休费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1.23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1.23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3、教育系统养老金补贴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30304</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4、抚恤金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1.05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1.05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30305</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5、生活补助</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0.66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0.66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6、医疗费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7、助学金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8、奖励金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1）独生子女父母奖励</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2）其他奖励金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2210201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9、住房公积金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33.66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33.66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10、其他对个人和家庭的补助支出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59.96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59.96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1）在职人员取暖补贴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22.37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22.37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2）离退休人员取暖补贴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37.59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37.59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3）其他</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22" w:type="default"/>
          <w:pgSz w:w="16838" w:h="11906" w:orient="landscape"/>
          <w:pgMar w:top="1800" w:right="1440" w:bottom="1800" w:left="144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正常公用经费预算</w:t>
      </w:r>
    </w:p>
    <w:tbl>
      <w:tblPr>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
        <w:gridCol w:w="1436"/>
        <w:gridCol w:w="1417"/>
        <w:gridCol w:w="4253"/>
        <w:gridCol w:w="1417"/>
        <w:gridCol w:w="1418"/>
        <w:gridCol w:w="489"/>
        <w:gridCol w:w="928"/>
        <w:gridCol w:w="1276"/>
        <w:gridCol w:w="1180"/>
        <w:gridCol w:w="180"/>
      </w:tblGrid>
      <w:tr>
        <w:trPr>
          <w:gridAfter w:val="1"/>
          <w:wAfter w:w="180" w:type="dxa"/>
          <w:cantSplit/>
          <w:trHeight w:val="285" w:hRule="atLeast"/>
          <w:tblHeader/>
          <w:jc w:val="center"/>
        </w:trPr>
        <w:tc>
          <w:tcPr>
            <w:tcW w:w="10523" w:type="dxa"/>
            <w:gridSpan w:val="7"/>
            <w:tcBorders>
              <w:top w:val="nil"/>
              <w:left w:val="nil"/>
              <w:bottom w:val="nil"/>
              <w:right w:val="nil"/>
            </w:tcBorders>
            <w:shd w:val="clear" w:color="auto" w:fill="auto"/>
            <w:vAlign w:val="center"/>
          </w:tcPr>
          <w:p>
            <w:pPr>
              <w:widowControl/>
              <w:jc w:val="left"/>
              <w:rPr>
                <w:rFonts w:ascii="黑体" w:eastAsia="黑体"/>
                <w:b/>
              </w:rPr>
            </w:pPr>
            <w:r>
              <w:rPr>
                <w:rFonts w:ascii="宋体" w:hAnsi="宋体"/>
                <w:sz w:val="28"/>
              </w:rPr>
              <w:t>212002唐山市统计局</w:t>
            </w:r>
          </w:p>
        </w:tc>
        <w:tc>
          <w:tcPr>
            <w:tcW w:w="3384" w:type="dxa"/>
            <w:gridSpan w:val="3"/>
            <w:tcBorders>
              <w:top w:val="nil"/>
              <w:left w:val="nil"/>
              <w:bottom w:val="nil"/>
              <w:right w:val="nil"/>
            </w:tcBorders>
            <w:shd w:val="clear" w:color="000000" w:fill="FFFFFF"/>
            <w:vAlign w:val="center"/>
          </w:tcPr>
          <w:p>
            <w:pPr>
              <w:widowControl/>
              <w:jc w:val="right"/>
              <w:rPr>
                <w:rFonts w:ascii="黑体" w:eastAsia="黑体"/>
                <w:b/>
              </w:rPr>
            </w:pPr>
            <w:r>
              <w:rPr>
                <w:rFonts w:ascii="宋体" w:hAnsi="宋体"/>
                <w:sz w:val="24"/>
              </w:rPr>
              <w:t>单位：万元</w:t>
            </w:r>
          </w:p>
        </w:tc>
      </w:tr>
      <w:tr>
        <w:trPr>
          <w:gridBefore w:val="1"/>
          <w:wBefore w:w="93" w:type="dxa"/>
          <w:cantSplit/>
          <w:trHeight w:val="256" w:hRule="atLeast"/>
          <w:tblHeader/>
          <w:jc w:val="center"/>
        </w:trPr>
        <w:tc>
          <w:tcPr>
            <w:tcW w:w="1436"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功能分类科目编码</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经济分类科目编码</w:t>
            </w:r>
          </w:p>
        </w:tc>
        <w:tc>
          <w:tcPr>
            <w:tcW w:w="4253"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预算支出项目</w:t>
            </w:r>
          </w:p>
        </w:tc>
        <w:tc>
          <w:tcPr>
            <w:tcW w:w="6888" w:type="dxa"/>
            <w:gridSpan w:val="7"/>
            <w:vAlign w:val="center"/>
          </w:tcPr>
          <w:p>
            <w:pPr>
              <w:widowControl/>
              <w:jc w:val="center"/>
              <w:rPr>
                <w:rFonts w:ascii="黑体" w:hAnsi="黑体" w:eastAsia="黑体" w:cs="宋体"/>
                <w:b/>
                <w:color w:val="000000"/>
                <w:kern w:val="0"/>
                <w:szCs w:val="21"/>
              </w:rPr>
            </w:pPr>
            <w:r>
              <w:rPr>
                <w:rFonts w:hint="eastAsia" w:ascii="黑体" w:eastAsia="黑体"/>
                <w:b/>
              </w:rPr>
              <w:t>经 费 来 源</w:t>
            </w:r>
          </w:p>
        </w:tc>
      </w:tr>
      <w:tr>
        <w:trPr>
          <w:gridBefore w:val="1"/>
          <w:wBefore w:w="93" w:type="dxa"/>
          <w:cantSplit/>
          <w:trHeight w:val="312" w:hRule="atLeast"/>
          <w:tblHeader/>
          <w:jc w:val="center"/>
        </w:trPr>
        <w:tc>
          <w:tcPr>
            <w:tcW w:w="1436" w:type="dxa"/>
            <w:vMerge w:val="continue"/>
            <w:vAlign w:val="center"/>
          </w:tcPr>
          <w:p>
            <w:pPr>
              <w:widowControl/>
              <w:jc w:val="center"/>
              <w:rPr>
                <w:rFonts w:ascii="黑体" w:hAnsi="黑体" w:eastAsia="黑体" w:cs="宋体"/>
                <w:b/>
                <w:color w:val="000000"/>
                <w:kern w:val="0"/>
                <w:szCs w:val="21"/>
              </w:rPr>
            </w:pPr>
          </w:p>
        </w:tc>
        <w:tc>
          <w:tcPr>
            <w:tcW w:w="1417" w:type="dxa"/>
            <w:vMerge w:val="continue"/>
            <w:vAlign w:val="center"/>
          </w:tcPr>
          <w:p>
            <w:pPr>
              <w:widowControl/>
              <w:jc w:val="center"/>
              <w:rPr>
                <w:rFonts w:ascii="黑体" w:hAnsi="黑体" w:eastAsia="黑体" w:cs="宋体"/>
                <w:b/>
                <w:color w:val="000000"/>
                <w:kern w:val="0"/>
                <w:szCs w:val="21"/>
              </w:rPr>
            </w:pPr>
          </w:p>
        </w:tc>
        <w:tc>
          <w:tcPr>
            <w:tcW w:w="4253" w:type="dxa"/>
            <w:vMerge w:val="continue"/>
            <w:vAlign w:val="center"/>
          </w:tcPr>
          <w:p>
            <w:pPr>
              <w:widowControl/>
              <w:jc w:val="center"/>
              <w:rPr>
                <w:rFonts w:ascii="黑体" w:hAnsi="黑体" w:eastAsia="黑体" w:cs="宋体"/>
                <w:b/>
                <w:color w:val="000000"/>
                <w:kern w:val="0"/>
                <w:szCs w:val="21"/>
              </w:rPr>
            </w:pP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合 计</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一般公共预算拨款安排</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政府性基金预算拨款安排</w:t>
            </w:r>
          </w:p>
        </w:tc>
        <w:tc>
          <w:tcPr>
            <w:tcW w:w="127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360"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其他来源收入安排</w:t>
            </w:r>
          </w:p>
        </w:tc>
      </w:tr>
      <w:tr>
        <w:trPr>
          <w:gridBefore w:val="1"/>
          <w:wBefore w:w="93" w:type="dxa"/>
          <w:cantSplit/>
          <w:trHeight w:val="312" w:hRule="atLeast"/>
          <w:tblHeader/>
          <w:jc w:val="center"/>
        </w:trPr>
        <w:tc>
          <w:tcPr>
            <w:tcW w:w="1436"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4253"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1418" w:type="dxa"/>
            <w:vMerge w:val="continue"/>
            <w:vAlign w:val="center"/>
          </w:tcPr>
          <w:p>
            <w:pPr>
              <w:widowControl/>
              <w:jc w:val="center"/>
              <w:rPr>
                <w:rFonts w:ascii="宋体" w:hAnsi="宋体" w:cs="宋体"/>
                <w:color w:val="000000"/>
                <w:kern w:val="0"/>
                <w:sz w:val="22"/>
              </w:rPr>
            </w:pPr>
          </w:p>
        </w:tc>
        <w:tc>
          <w:tcPr>
            <w:tcW w:w="1417" w:type="dxa"/>
            <w:gridSpan w:val="2"/>
            <w:vMerge w:val="continue"/>
            <w:vAlign w:val="center"/>
          </w:tcPr>
          <w:p>
            <w:pPr>
              <w:widowControl/>
              <w:jc w:val="center"/>
              <w:rPr>
                <w:rFonts w:ascii="宋体" w:hAnsi="宋体" w:cs="宋体"/>
                <w:color w:val="000000"/>
                <w:kern w:val="0"/>
                <w:sz w:val="22"/>
              </w:rPr>
            </w:pPr>
          </w:p>
        </w:tc>
        <w:tc>
          <w:tcPr>
            <w:tcW w:w="1276" w:type="dxa"/>
            <w:vMerge w:val="continue"/>
            <w:vAlign w:val="center"/>
          </w:tcPr>
          <w:p>
            <w:pPr>
              <w:widowControl/>
              <w:jc w:val="center"/>
              <w:rPr>
                <w:rFonts w:ascii="宋体" w:hAnsi="宋体" w:cs="宋体"/>
                <w:color w:val="000000"/>
                <w:kern w:val="0"/>
                <w:sz w:val="22"/>
              </w:rPr>
            </w:pPr>
          </w:p>
        </w:tc>
        <w:tc>
          <w:tcPr>
            <w:tcW w:w="1360" w:type="dxa"/>
            <w:gridSpan w:val="2"/>
            <w:vMerge w:val="continue"/>
            <w:vAlign w:val="center"/>
          </w:tcPr>
          <w:p>
            <w:pPr>
              <w:widowControl/>
              <w:jc w:val="center"/>
              <w:rPr>
                <w:rFonts w:ascii="宋体" w:hAnsi="宋体" w:cs="宋体"/>
                <w:color w:val="000000"/>
                <w:kern w:val="0"/>
                <w:sz w:val="22"/>
              </w:rPr>
            </w:pPr>
          </w:p>
        </w:tc>
      </w:tr>
      <w:tr>
        <w:trPr>
          <w:gridBefore w:val="1"/>
          <w:wBefore w:w="93" w:type="dxa"/>
          <w:cantSplit/>
          <w:trHeight w:val="312" w:hRule="atLeast"/>
          <w:tblHeader/>
          <w:jc w:val="center"/>
        </w:trPr>
        <w:tc>
          <w:tcPr>
            <w:tcW w:w="1436"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left"/>
              <w:rPr>
                <w:rFonts w:ascii="宋体" w:hAnsi="宋体" w:cs="宋体"/>
                <w:color w:val="000000"/>
                <w:kern w:val="0"/>
                <w:szCs w:val="21"/>
              </w:rPr>
            </w:pPr>
          </w:p>
        </w:tc>
        <w:tc>
          <w:tcPr>
            <w:tcW w:w="4253"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1360" w:type="dxa"/>
            <w:gridSpan w:val="2"/>
            <w:vMerge w:val="continue"/>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正常公用经费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78.19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78.19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一、定额安排公用经费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58.55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58.55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1、办公费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3.84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3.84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2、邮电费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4.36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4.36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3、差旅费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7.71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7.71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4、物业管理费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2.25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2.25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5、维修（护）费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2.46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2.46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30231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6、公务用车运行维护费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10.20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10.20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30239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7、公务交通补贴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27.28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27.28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8、其他商品和服务支出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0.45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0.45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二、按规定比例提取安排公用经费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19.64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19.64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30216</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1、培训费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4.03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2、公务接待费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0.63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0.63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30228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3、工会经费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3.22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3.22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30229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4、福利费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3.63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3.63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5、其他</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8.13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8.13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1）离休人员福利费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0.09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0.09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2）退休人员福利费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4.36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4.36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3）离休干部公用经费、特需费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4）退休干部公用经费、特需费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3.53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3.53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三、非定额安排公用经费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30205</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1、水费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30206</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2、电费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3、取暖费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23" w:type="default"/>
          <w:pgSz w:w="16838" w:h="11906" w:orient="landscape"/>
          <w:pgMar w:top="1800" w:right="1440" w:bottom="1800" w:left="1440" w:header="851" w:footer="992" w:gutter="0"/>
          <w:cols w:space="720" w:num="1"/>
          <w:docGrid w:type="lines" w:linePitch="312"/>
        </w:sectPr>
      </w:pPr>
    </w:p>
    <w:p>
      <w:pPr>
        <w:jc w:val="center"/>
        <w:rPr>
          <w:rFonts w:ascii="黑体" w:hAnsi="黑体" w:eastAsia="黑体"/>
          <w:b/>
          <w:sz w:val="32"/>
          <w:szCs w:val="32"/>
        </w:rPr>
      </w:pPr>
      <w:r>
        <w:rPr>
          <w:rFonts w:hint="eastAsia" w:ascii="黑体" w:hAnsi="黑体" w:eastAsia="黑体"/>
          <w:b/>
          <w:sz w:val="32"/>
          <w:szCs w:val="32"/>
        </w:rPr>
        <w:t>“三公”及会议培训经费预算</w:t>
      </w:r>
    </w:p>
    <w:tbl>
      <w:tblPr>
        <w:tblW w:w="13113" w:type="dxa"/>
        <w:jc w:val="center"/>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39"/>
        <w:gridCol w:w="4384"/>
        <w:gridCol w:w="809"/>
        <w:gridCol w:w="1034"/>
        <w:gridCol w:w="1701"/>
        <w:gridCol w:w="1701"/>
        <w:gridCol w:w="1559"/>
        <w:gridCol w:w="888"/>
        <w:gridCol w:w="598"/>
      </w:tblGrid>
      <w:tr>
        <w:trPr>
          <w:gridBefore w:val="1"/>
          <w:gridAfter w:val="1"/>
          <w:wBefore w:w="439" w:type="dxa"/>
          <w:wAfter w:w="598" w:type="dxa"/>
          <w:cantSplit/>
          <w:trHeight w:val="270" w:hRule="atLeast"/>
          <w:tblHeader/>
          <w:jc w:val="center"/>
        </w:trPr>
        <w:tc>
          <w:tcPr>
            <w:tcW w:w="5193" w:type="dxa"/>
            <w:gridSpan w:val="2"/>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212002唐山市统计局</w:t>
            </w:r>
          </w:p>
        </w:tc>
        <w:tc>
          <w:tcPr>
            <w:tcW w:w="6883" w:type="dxa"/>
            <w:gridSpan w:val="5"/>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1" w:hRule="atLeast"/>
          <w:tblHeader/>
          <w:jc w:val="center"/>
        </w:trPr>
        <w:tc>
          <w:tcPr>
            <w:tcW w:w="4823"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290" w:type="dxa"/>
            <w:gridSpan w:val="7"/>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4823" w:type="dxa"/>
            <w:gridSpan w:val="2"/>
            <w:vMerge w:val="continue"/>
            <w:vAlign w:val="center"/>
          </w:tcPr>
          <w:p>
            <w:pPr>
              <w:widowControl/>
              <w:jc w:val="center"/>
              <w:rPr>
                <w:rFonts w:ascii="黑体" w:hAnsi="黑体" w:eastAsia="黑体" w:cs="宋体"/>
                <w:b/>
                <w:color w:val="000000"/>
                <w:kern w:val="0"/>
                <w:szCs w:val="21"/>
              </w:rPr>
            </w:pPr>
          </w:p>
        </w:tc>
        <w:tc>
          <w:tcPr>
            <w:tcW w:w="1843"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559"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486"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4823" w:type="dxa"/>
            <w:gridSpan w:val="2"/>
            <w:vMerge w:val="continue"/>
            <w:vAlign w:val="center"/>
          </w:tcPr>
          <w:p>
            <w:pPr>
              <w:widowControl/>
              <w:jc w:val="center"/>
              <w:rPr>
                <w:rFonts w:ascii="宋体" w:hAnsi="宋体" w:cs="宋体"/>
                <w:b/>
                <w:color w:val="000000"/>
                <w:kern w:val="0"/>
                <w:sz w:val="22"/>
              </w:rPr>
            </w:pPr>
          </w:p>
        </w:tc>
        <w:tc>
          <w:tcPr>
            <w:tcW w:w="1843" w:type="dxa"/>
            <w:gridSpan w:val="2"/>
            <w:vMerge w:val="continue"/>
            <w:vAlign w:val="center"/>
          </w:tcPr>
          <w:p>
            <w:pPr>
              <w:widowControl/>
              <w:jc w:val="center"/>
              <w:rPr>
                <w:rFonts w:ascii="宋体" w:hAnsi="宋体" w:cs="宋体"/>
                <w:b/>
                <w:color w:val="000000"/>
                <w:kern w:val="0"/>
                <w:sz w:val="22"/>
              </w:rPr>
            </w:pPr>
          </w:p>
        </w:tc>
        <w:tc>
          <w:tcPr>
            <w:tcW w:w="1701" w:type="dxa"/>
            <w:vMerge w:val="continue"/>
            <w:vAlign w:val="center"/>
          </w:tcPr>
          <w:p>
            <w:pPr>
              <w:widowControl/>
              <w:jc w:val="center"/>
              <w:rPr>
                <w:rFonts w:ascii="宋体" w:hAnsi="宋体" w:cs="宋体"/>
                <w:b/>
                <w:color w:val="000000"/>
                <w:kern w:val="0"/>
                <w:sz w:val="22"/>
              </w:rPr>
            </w:pPr>
          </w:p>
        </w:tc>
        <w:tc>
          <w:tcPr>
            <w:tcW w:w="1701" w:type="dxa"/>
            <w:vMerge w:val="continue"/>
            <w:vAlign w:val="center"/>
          </w:tcPr>
          <w:p>
            <w:pPr>
              <w:widowControl/>
              <w:jc w:val="center"/>
              <w:rPr>
                <w:rFonts w:ascii="宋体" w:hAnsi="宋体" w:cs="宋体"/>
                <w:b/>
                <w:color w:val="000000"/>
                <w:kern w:val="0"/>
                <w:sz w:val="22"/>
              </w:rPr>
            </w:pPr>
          </w:p>
        </w:tc>
        <w:tc>
          <w:tcPr>
            <w:tcW w:w="1559" w:type="dxa"/>
            <w:vMerge w:val="continue"/>
            <w:vAlign w:val="center"/>
          </w:tcPr>
          <w:p>
            <w:pPr>
              <w:widowControl/>
              <w:jc w:val="center"/>
              <w:rPr>
                <w:rFonts w:ascii="宋体" w:hAnsi="宋体" w:cs="宋体"/>
                <w:b/>
                <w:color w:val="000000"/>
                <w:kern w:val="0"/>
                <w:sz w:val="22"/>
              </w:rPr>
            </w:pPr>
          </w:p>
        </w:tc>
        <w:tc>
          <w:tcPr>
            <w:tcW w:w="1486" w:type="dxa"/>
            <w:gridSpan w:val="2"/>
            <w:vMerge w:val="continue"/>
            <w:vAlign w:val="center"/>
          </w:tcPr>
          <w:p>
            <w:pPr>
              <w:widowControl/>
              <w:jc w:val="center"/>
              <w:rPr>
                <w:rFonts w:ascii="宋体" w:hAns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tblHeader/>
          <w:jc w:val="center"/>
        </w:trPr>
        <w:tc>
          <w:tcPr>
            <w:tcW w:w="4823" w:type="dxa"/>
            <w:gridSpan w:val="2"/>
            <w:vMerge w:val="continue"/>
            <w:vAlign w:val="center"/>
          </w:tcPr>
          <w:p>
            <w:pPr>
              <w:widowControl/>
              <w:jc w:val="left"/>
              <w:rPr>
                <w:rFonts w:ascii="宋体" w:hAnsi="宋体" w:cs="宋体"/>
                <w:color w:val="000000"/>
                <w:kern w:val="0"/>
                <w:szCs w:val="21"/>
              </w:rPr>
            </w:pPr>
          </w:p>
        </w:tc>
        <w:tc>
          <w:tcPr>
            <w:tcW w:w="1843" w:type="dxa"/>
            <w:gridSpan w:val="2"/>
            <w:vMerge w:val="continue"/>
            <w:vAlign w:val="center"/>
          </w:tcPr>
          <w:p>
            <w:pPr>
              <w:widowControl/>
              <w:jc w:val="righ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559" w:type="dxa"/>
            <w:vMerge w:val="continue"/>
            <w:vAlign w:val="center"/>
          </w:tcPr>
          <w:p>
            <w:pPr>
              <w:widowControl/>
              <w:jc w:val="right"/>
              <w:rPr>
                <w:rFonts w:ascii="宋体" w:hAnsi="宋体" w:cs="宋体"/>
                <w:color w:val="000000"/>
                <w:kern w:val="0"/>
                <w:szCs w:val="21"/>
              </w:rPr>
            </w:pPr>
          </w:p>
        </w:tc>
        <w:tc>
          <w:tcPr>
            <w:tcW w:w="1486" w:type="dxa"/>
            <w:gridSpan w:val="2"/>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一、“三公”经费小计</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10.83</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10.83</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（一）因公出国境费用</w:t>
            </w:r>
          </w:p>
        </w:tc>
        <w:tc>
          <w:tcPr>
            <w:tcW w:w="1843" w:type="dxa"/>
            <w:gridSpan w:val="2"/>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（二）公务用车购置及运维费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10.20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10.20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公务用车运行维护费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10.20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10.20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（三）公务接待费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0.63</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0.63</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二、会议费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3.68</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3.68</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三、培训费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15.03</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15.03</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合计</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29.54</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29.54</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24" w:type="default"/>
          <w:pgSz w:w="16838" w:h="11906" w:orient="landscape"/>
          <w:pgMar w:top="1800" w:right="1440" w:bottom="1800" w:left="1440" w:header="851" w:footer="992" w:gutter="0"/>
          <w:cols w:space="720" w:num="1"/>
          <w:docGrid w:type="lines" w:linePitch="312"/>
        </w:sectPr>
      </w:pPr>
    </w:p>
    <w:p>
      <w:pPr>
        <w:jc w:val="center"/>
        <w:rPr>
          <w:rFonts w:ascii="黑体" w:hAnsi="黑体" w:eastAsia="黑体"/>
          <w:b/>
          <w:sz w:val="32"/>
          <w:szCs w:val="32"/>
        </w:rPr>
      </w:pPr>
      <w:r>
        <w:rPr>
          <w:rFonts w:hint="eastAsia" w:ascii="黑体" w:hAnsi="黑体" w:eastAsia="黑体"/>
          <w:b/>
          <w:sz w:val="32"/>
          <w:szCs w:val="32"/>
        </w:rPr>
        <w:t>专项公用经费支出安排表</w:t>
      </w:r>
    </w:p>
    <w:tbl>
      <w:tblPr>
        <w:tblW w:w="13970" w:type="dxa"/>
        <w:jc w:val="center"/>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
        <w:gridCol w:w="1689"/>
        <w:gridCol w:w="5301"/>
        <w:gridCol w:w="1418"/>
        <w:gridCol w:w="1365"/>
        <w:gridCol w:w="52"/>
        <w:gridCol w:w="1418"/>
        <w:gridCol w:w="1417"/>
        <w:gridCol w:w="1105"/>
        <w:gridCol w:w="187"/>
      </w:tblGrid>
      <w:tr>
        <w:trPr>
          <w:gridBefore w:val="1"/>
          <w:gridAfter w:val="1"/>
          <w:wBefore w:w="18" w:type="dxa"/>
          <w:wAfter w:w="187" w:type="dxa"/>
          <w:cantSplit/>
          <w:trHeight w:val="270" w:hRule="atLeast"/>
          <w:tblHeader/>
          <w:jc w:val="center"/>
        </w:trPr>
        <w:tc>
          <w:tcPr>
            <w:tcW w:w="9773" w:type="dxa"/>
            <w:gridSpan w:val="4"/>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212002唐山市统计局</w:t>
            </w:r>
            <w:r>
              <w:rPr>
                <w:rFonts w:hint="eastAsia" w:ascii="宋体" w:hAnsi="宋体" w:cs="宋体"/>
                <w:color w:val="000000"/>
                <w:kern w:val="0"/>
                <w:sz w:val="22"/>
              </w:rPr>
              <w:t>　</w:t>
            </w:r>
          </w:p>
        </w:tc>
        <w:tc>
          <w:tcPr>
            <w:tcW w:w="3992" w:type="dxa"/>
            <w:gridSpan w:val="4"/>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1" w:hRule="atLeast"/>
          <w:tblHeader/>
          <w:jc w:val="center"/>
        </w:trPr>
        <w:tc>
          <w:tcPr>
            <w:tcW w:w="1707"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功能分类科目编码</w:t>
            </w:r>
          </w:p>
        </w:tc>
        <w:tc>
          <w:tcPr>
            <w:tcW w:w="53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预算支出项目</w:t>
            </w:r>
          </w:p>
        </w:tc>
        <w:tc>
          <w:tcPr>
            <w:tcW w:w="6962" w:type="dxa"/>
            <w:gridSpan w:val="7"/>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1707" w:type="dxa"/>
            <w:gridSpan w:val="2"/>
            <w:vMerge w:val="continue"/>
            <w:vAlign w:val="center"/>
          </w:tcPr>
          <w:p>
            <w:pPr>
              <w:widowControl/>
              <w:jc w:val="center"/>
              <w:rPr>
                <w:rFonts w:ascii="黑体" w:hAnsi="黑体" w:eastAsia="黑体" w:cs="宋体"/>
                <w:b/>
                <w:color w:val="000000"/>
                <w:kern w:val="0"/>
                <w:szCs w:val="21"/>
              </w:rPr>
            </w:pPr>
          </w:p>
        </w:tc>
        <w:tc>
          <w:tcPr>
            <w:tcW w:w="5301" w:type="dxa"/>
            <w:vMerge w:val="continue"/>
            <w:vAlign w:val="center"/>
          </w:tcPr>
          <w:p>
            <w:pPr>
              <w:widowControl/>
              <w:jc w:val="center"/>
              <w:rPr>
                <w:rFonts w:ascii="黑体" w:hAnsi="黑体" w:eastAsia="黑体" w:cs="宋体"/>
                <w:b/>
                <w:color w:val="000000"/>
                <w:kern w:val="0"/>
                <w:szCs w:val="21"/>
              </w:rPr>
            </w:pP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92"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1707" w:type="dxa"/>
            <w:gridSpan w:val="2"/>
            <w:vMerge w:val="continue"/>
            <w:vAlign w:val="center"/>
          </w:tcPr>
          <w:p>
            <w:pPr>
              <w:widowControl/>
              <w:jc w:val="center"/>
              <w:rPr>
                <w:rFonts w:ascii="宋体" w:hAnsi="宋体" w:cs="宋体"/>
                <w:b/>
                <w:color w:val="000000"/>
                <w:kern w:val="0"/>
                <w:sz w:val="22"/>
              </w:rPr>
            </w:pPr>
          </w:p>
        </w:tc>
        <w:tc>
          <w:tcPr>
            <w:tcW w:w="5301" w:type="dxa"/>
            <w:vMerge w:val="continue"/>
            <w:vAlign w:val="center"/>
          </w:tcPr>
          <w:p>
            <w:pPr>
              <w:widowControl/>
              <w:jc w:val="center"/>
              <w:rPr>
                <w:rFonts w:ascii="宋体" w:hAnsi="宋体" w:cs="宋体"/>
                <w:b/>
                <w:color w:val="000000"/>
                <w:kern w:val="0"/>
                <w:sz w:val="22"/>
              </w:rPr>
            </w:pPr>
          </w:p>
        </w:tc>
        <w:tc>
          <w:tcPr>
            <w:tcW w:w="1418" w:type="dxa"/>
            <w:vMerge w:val="continue"/>
            <w:vAlign w:val="center"/>
          </w:tcPr>
          <w:p>
            <w:pPr>
              <w:widowControl/>
              <w:jc w:val="center"/>
              <w:rPr>
                <w:rFonts w:ascii="宋体" w:hAnsi="宋体" w:cs="宋体"/>
                <w:b/>
                <w:color w:val="000000"/>
                <w:kern w:val="0"/>
                <w:sz w:val="22"/>
              </w:rPr>
            </w:pPr>
          </w:p>
        </w:tc>
        <w:tc>
          <w:tcPr>
            <w:tcW w:w="1417" w:type="dxa"/>
            <w:gridSpan w:val="2"/>
            <w:vMerge w:val="continue"/>
            <w:vAlign w:val="center"/>
          </w:tcPr>
          <w:p>
            <w:pPr>
              <w:widowControl/>
              <w:jc w:val="center"/>
              <w:rPr>
                <w:rFonts w:ascii="宋体" w:hAnsi="宋体" w:cs="宋体"/>
                <w:b/>
                <w:color w:val="000000"/>
                <w:kern w:val="0"/>
                <w:sz w:val="22"/>
              </w:rPr>
            </w:pPr>
          </w:p>
        </w:tc>
        <w:tc>
          <w:tcPr>
            <w:tcW w:w="1418" w:type="dxa"/>
            <w:vMerge w:val="continue"/>
            <w:vAlign w:val="center"/>
          </w:tcPr>
          <w:p>
            <w:pPr>
              <w:widowControl/>
              <w:jc w:val="center"/>
              <w:rPr>
                <w:rFonts w:ascii="宋体" w:hAnsi="宋体" w:cs="宋体"/>
                <w:b/>
                <w:color w:val="000000"/>
                <w:kern w:val="0"/>
                <w:sz w:val="22"/>
              </w:rPr>
            </w:pPr>
          </w:p>
        </w:tc>
        <w:tc>
          <w:tcPr>
            <w:tcW w:w="1417" w:type="dxa"/>
            <w:vMerge w:val="continue"/>
            <w:vAlign w:val="center"/>
          </w:tcPr>
          <w:p>
            <w:pPr>
              <w:widowControl/>
              <w:jc w:val="center"/>
              <w:rPr>
                <w:rFonts w:ascii="宋体" w:hAnsi="宋体" w:cs="宋体"/>
                <w:b/>
                <w:color w:val="000000"/>
                <w:kern w:val="0"/>
                <w:sz w:val="22"/>
              </w:rPr>
            </w:pPr>
          </w:p>
        </w:tc>
        <w:tc>
          <w:tcPr>
            <w:tcW w:w="1292" w:type="dxa"/>
            <w:gridSpan w:val="2"/>
            <w:vMerge w:val="continue"/>
            <w:vAlign w:val="center"/>
          </w:tcPr>
          <w:p>
            <w:pPr>
              <w:widowControl/>
              <w:jc w:val="center"/>
              <w:rPr>
                <w:rFonts w:ascii="宋体" w:hAns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tblHeader/>
          <w:jc w:val="center"/>
        </w:trPr>
        <w:tc>
          <w:tcPr>
            <w:tcW w:w="1707" w:type="dxa"/>
            <w:gridSpan w:val="2"/>
            <w:vMerge w:val="continue"/>
            <w:vAlign w:val="center"/>
          </w:tcPr>
          <w:p>
            <w:pPr>
              <w:widowControl/>
              <w:jc w:val="left"/>
              <w:rPr>
                <w:rFonts w:ascii="宋体" w:hAnsi="宋体" w:cs="宋体"/>
                <w:color w:val="000000"/>
                <w:kern w:val="0"/>
                <w:szCs w:val="21"/>
              </w:rPr>
            </w:pPr>
          </w:p>
        </w:tc>
        <w:tc>
          <w:tcPr>
            <w:tcW w:w="5301" w:type="dxa"/>
            <w:vMerge w:val="continue"/>
            <w:vAlign w:val="center"/>
          </w:tcPr>
          <w:p>
            <w:pPr>
              <w:widowControl/>
              <w:jc w:val="lef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292" w:type="dxa"/>
            <w:gridSpan w:val="2"/>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专项公用经费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17.68</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17.68</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全市统计工作会</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3.68</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3.68</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统计职称考务工作培训费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统计系统年报培训会</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9.00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9.00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统计职称考务人员劳务费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25" w:type="default"/>
          <w:pgSz w:w="16838" w:h="11906" w:orient="landscape"/>
          <w:pgMar w:top="1800" w:right="1440" w:bottom="1800" w:left="144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人员经费计算依据情况表</w:t>
      </w:r>
    </w:p>
    <w:tbl>
      <w:tblPr>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0"/>
        <w:gridCol w:w="4961"/>
        <w:gridCol w:w="992"/>
        <w:gridCol w:w="993"/>
        <w:gridCol w:w="1619"/>
        <w:gridCol w:w="24"/>
      </w:tblGrid>
      <w:tr>
        <w:trPr>
          <w:cantSplit/>
          <w:trHeight w:val="312" w:hRule="atLeast"/>
          <w:tblHeader/>
          <w:jc w:val="center"/>
        </w:trPr>
        <w:tc>
          <w:tcPr>
            <w:tcW w:w="7816" w:type="dxa"/>
            <w:gridSpan w:val="4"/>
            <w:tcBorders>
              <w:top w:val="nil"/>
              <w:left w:val="nil"/>
              <w:right w:val="nil"/>
            </w:tcBorders>
            <w:vAlign w:val="center"/>
          </w:tcPr>
          <w:p>
            <w:pPr>
              <w:widowControl/>
              <w:jc w:val="left"/>
              <w:rPr>
                <w:rFonts w:ascii="黑体" w:eastAsia="黑体"/>
                <w:b/>
              </w:rPr>
            </w:pPr>
            <w:r>
              <w:rPr>
                <w:rFonts w:ascii="宋体" w:hAnsi="宋体"/>
                <w:sz w:val="28"/>
              </w:rPr>
              <w:t>212002唐山市统计局</w:t>
            </w:r>
          </w:p>
        </w:tc>
        <w:tc>
          <w:tcPr>
            <w:tcW w:w="1643" w:type="dxa"/>
            <w:gridSpan w:val="2"/>
            <w:tcBorders>
              <w:top w:val="nil"/>
              <w:left w:val="nil"/>
              <w:right w:val="nil"/>
            </w:tcBorders>
            <w:vAlign w:val="center"/>
          </w:tcPr>
          <w:p>
            <w:pPr>
              <w:widowControl/>
              <w:jc w:val="right"/>
              <w:rPr>
                <w:rFonts w:ascii="黑体" w:eastAsia="黑体"/>
                <w:b/>
              </w:rPr>
            </w:pPr>
            <w:r>
              <w:rPr>
                <w:rFonts w:hint="eastAsia" w:ascii="宋体" w:hAnsi="宋体"/>
                <w:sz w:val="24"/>
              </w:rPr>
              <w:t>单位：人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正处级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45</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35</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35</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34</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61</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55</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6</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r>
    </w:tbl>
    <w:p/>
    <w:p>
      <w:pPr>
        <w:spacing w:line="360" w:lineRule="auto"/>
        <w:jc w:val="left"/>
        <w:sectPr>
          <w:headerReference r:id="rId26" w:type="default"/>
          <w:pgSz w:w="11906" w:h="16838"/>
          <w:pgMar w:top="1440" w:right="1800" w:bottom="1440" w:left="1800" w:header="851" w:footer="992" w:gutter="0"/>
          <w:cols w:space="720" w:num="1"/>
          <w:docGrid w:type="lines" w:linePitch="312"/>
        </w:sectPr>
      </w:pPr>
    </w:p>
    <w:p>
      <w:pPr>
        <w:jc w:val="center"/>
        <w:rPr>
          <w:rFonts w:ascii="黑体" w:eastAsia="黑体"/>
          <w:sz w:val="32"/>
          <w:szCs w:val="32"/>
        </w:rPr>
      </w:pPr>
      <w:r>
        <w:rPr>
          <w:rFonts w:hint="eastAsia" w:ascii="黑体" w:eastAsia="黑体"/>
          <w:sz w:val="32"/>
          <w:szCs w:val="32"/>
        </w:rPr>
        <w:t>正常公用经费计算依据情况表</w:t>
      </w:r>
    </w:p>
    <w:tbl>
      <w:tblPr>
        <w:tblW w:w="9497" w:type="dxa"/>
        <w:jc w:val="center"/>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50"/>
        <w:gridCol w:w="3597"/>
        <w:gridCol w:w="1276"/>
        <w:gridCol w:w="1222"/>
        <w:gridCol w:w="1134"/>
        <w:gridCol w:w="1418"/>
      </w:tblGrid>
      <w:tr>
        <w:trPr>
          <w:cantSplit/>
          <w:trHeight w:val="312" w:hRule="atLeast"/>
          <w:tblHeader/>
          <w:jc w:val="center"/>
        </w:trPr>
        <w:tc>
          <w:tcPr>
            <w:tcW w:w="9497" w:type="dxa"/>
            <w:gridSpan w:val="6"/>
            <w:tcBorders>
              <w:bottom w:val="single" w:color="auto" w:sz="4" w:space="0"/>
            </w:tcBorders>
            <w:vAlign w:val="center"/>
          </w:tcPr>
          <w:p>
            <w:pPr>
              <w:widowControl/>
              <w:jc w:val="left"/>
              <w:rPr>
                <w:rFonts w:ascii="黑体" w:hAnsi="黑体" w:eastAsia="黑体" w:cs="宋体"/>
                <w:b/>
                <w:bCs/>
                <w:color w:val="000000"/>
                <w:kern w:val="0"/>
                <w:szCs w:val="21"/>
              </w:rPr>
            </w:pPr>
            <w:r>
              <w:rPr>
                <w:rFonts w:ascii="宋体" w:hAnsi="宋体"/>
                <w:sz w:val="28"/>
              </w:rPr>
              <w:t>212002唐山市统计局</w:t>
            </w:r>
          </w:p>
        </w:tc>
      </w:tr>
      <w:tr>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r>
      <w:tr>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行政机关</w:t>
            </w: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45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29</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61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艘</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
      <w:pPr>
        <w:spacing w:line="360" w:lineRule="auto"/>
        <w:jc w:val="left"/>
        <w:sectPr>
          <w:headerReference r:id="rId27" w:type="default"/>
          <w:pgSz w:w="11906" w:h="16838"/>
          <w:pgMar w:top="1440" w:right="1800" w:bottom="1440" w:left="1800" w:header="851" w:footer="992" w:gutter="0"/>
          <w:cols w:space="720" w:num="1"/>
          <w:docGrid w:type="lines" w:linePitch="312"/>
        </w:sectPr>
      </w:pPr>
    </w:p>
    <w:p>
      <w:pPr>
        <w:spacing w:line="360" w:lineRule="auto"/>
        <w:jc w:val="center"/>
        <w:rPr>
          <w:rFonts w:ascii="宋体" w:hAnsi="宋体"/>
          <w:b/>
          <w:color w:val="000000"/>
          <w:sz w:val="44"/>
        </w:rPr>
      </w:pPr>
      <w:r>
        <w:rPr>
          <w:rFonts w:ascii="宋体" w:hAnsi="宋体"/>
          <w:b/>
          <w:color w:val="000000"/>
          <w:sz w:val="44"/>
        </w:rPr>
        <w:t>唐山市统计局收支预算说明</w:t>
      </w:r>
    </w:p>
    <w:p>
      <w:pPr>
        <w:spacing w:line="480" w:lineRule="auto"/>
        <w:jc w:val="left"/>
        <w:rPr>
          <w:rFonts w:ascii="宋体" w:hAnsi="宋体"/>
          <w:b/>
          <w:color w:val="000000"/>
          <w:sz w:val="28"/>
        </w:rPr>
      </w:pPr>
      <w:r>
        <w:rPr>
          <w:rFonts w:ascii="宋体" w:hAnsi="宋体"/>
          <w:b/>
          <w:color w:val="000000"/>
          <w:sz w:val="28"/>
        </w:rPr>
        <w:t>一、收入预算说明</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bookmarkStart w:id="18" w:name="_GoBack"/>
      <w:r>
        <w:rPr>
          <w:rFonts w:hint="eastAsia" w:ascii="宋体" w:hAnsi="宋体" w:cs="宋体"/>
          <w:kern w:val="0"/>
          <w:szCs w:val="21"/>
        </w:rPr>
        <w:t>统计职称考务费</w:t>
      </w:r>
      <w:r>
        <w:rPr>
          <w:rFonts w:ascii="宋体" w:hAnsi="宋体" w:cs="宋体"/>
          <w:kern w:val="0"/>
          <w:szCs w:val="21"/>
        </w:rPr>
        <w:t>5</w:t>
      </w:r>
      <w:r>
        <w:rPr>
          <w:rFonts w:hint="eastAsia" w:ascii="宋体" w:hAnsi="宋体" w:cs="宋体"/>
          <w:kern w:val="0"/>
          <w:szCs w:val="21"/>
        </w:rPr>
        <w:t>万元（原是中国统计干部函授学院河北分院唐山工作站，于2014年7月底财政批准银行撤户编入统计局统一管理），收入直接入收费局，交省统计局50%，统计</w:t>
      </w:r>
      <w:bookmarkEnd w:id="18"/>
      <w:r>
        <w:rPr>
          <w:rFonts w:hint="eastAsia" w:ascii="宋体" w:hAnsi="宋体" w:cs="宋体"/>
          <w:kern w:val="0"/>
          <w:szCs w:val="21"/>
        </w:rPr>
        <w:t>局有50%纳入预算内，由国库统一拨付。</w:t>
      </w:r>
    </w:p>
    <w:p>
      <w:pPr>
        <w:spacing w:line="360" w:lineRule="auto"/>
        <w:jc w:val="left"/>
        <w:rPr>
          <w:rFonts w:ascii="宋体" w:hAnsi="宋体"/>
          <w:b/>
          <w:color w:val="000000"/>
          <w:sz w:val="28"/>
        </w:rPr>
      </w:pPr>
      <w:r>
        <w:rPr>
          <w:rFonts w:ascii="宋体" w:hAnsi="宋体"/>
          <w:b/>
          <w:color w:val="000000"/>
          <w:sz w:val="28"/>
        </w:rPr>
        <w:t>二、支出预算说明</w:t>
      </w:r>
    </w:p>
    <w:p>
      <w:pPr>
        <w:spacing w:line="480" w:lineRule="auto"/>
        <w:jc w:val="left"/>
        <w:rPr>
          <w:rFonts w:ascii="宋体" w:hAnsi="宋体"/>
          <w:b/>
          <w:color w:val="000000"/>
          <w:sz w:val="28"/>
        </w:rPr>
      </w:pPr>
      <w:r>
        <w:rPr>
          <w:rFonts w:ascii="宋体" w:hAnsi="宋体"/>
          <w:b/>
          <w:color w:val="000000"/>
          <w:sz w:val="28"/>
        </w:rPr>
        <w:t>（一）专项公用经费项目安排说明</w:t>
      </w:r>
    </w:p>
    <w:p>
      <w:pPr>
        <w:spacing w:line="360" w:lineRule="auto"/>
        <w:jc w:val="left"/>
        <w:sectPr>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单位专项公用经费安排说明</w:t>
      </w:r>
    </w:p>
    <w:tbl>
      <w:tblPr>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85" w:type="dxa"/>
          <w:bottom w:w="57" w:type="dxa"/>
          <w:right w:w="85" w:type="dxa"/>
        </w:tblCellMar>
      </w:tblPr>
      <w:tblGrid>
        <w:gridCol w:w="1809"/>
        <w:gridCol w:w="2268"/>
        <w:gridCol w:w="1418"/>
        <w:gridCol w:w="247"/>
        <w:gridCol w:w="8432"/>
      </w:tblGrid>
      <w:tr>
        <w:trPr>
          <w:cantSplit/>
          <w:trHeight w:val="312" w:hRule="atLeast"/>
          <w:tblHeader/>
          <w:jc w:val="center"/>
        </w:trPr>
        <w:tc>
          <w:tcPr>
            <w:tcW w:w="5742" w:type="dxa"/>
            <w:gridSpan w:val="4"/>
            <w:tcBorders>
              <w:bottom w:val="single" w:color="auto" w:sz="4" w:space="0"/>
            </w:tcBorders>
            <w:vAlign w:val="center"/>
          </w:tcPr>
          <w:p>
            <w:pPr>
              <w:widowControl/>
              <w:jc w:val="left"/>
              <w:rPr>
                <w:rFonts w:ascii="黑体" w:hAnsi="黑体" w:eastAsia="黑体" w:cs="宋体"/>
                <w:b/>
                <w:color w:val="000000"/>
                <w:kern w:val="0"/>
                <w:szCs w:val="21"/>
              </w:rPr>
            </w:pPr>
            <w:r>
              <w:rPr>
                <w:rFonts w:ascii="宋体" w:hAnsi="宋体"/>
                <w:sz w:val="28"/>
              </w:rPr>
              <w:t>212002唐山市统计局</w:t>
            </w:r>
          </w:p>
        </w:tc>
        <w:tc>
          <w:tcPr>
            <w:tcW w:w="8432" w:type="dxa"/>
            <w:tcBorders>
              <w:bottom w:val="single" w:color="auto" w:sz="4" w:space="0"/>
            </w:tcBorders>
            <w:vAlign w:val="center"/>
          </w:tcPr>
          <w:p>
            <w:pPr>
              <w:widowControl/>
              <w:jc w:val="right"/>
              <w:rPr>
                <w:rFonts w:ascii="黑体" w:hAnsi="黑体" w:eastAsia="黑体" w:cs="宋体"/>
                <w:b/>
                <w:color w:val="000000"/>
                <w:kern w:val="0"/>
                <w:szCs w:val="21"/>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continue"/>
            <w:vAlign w:val="center"/>
          </w:tcPr>
          <w:p>
            <w:pPr>
              <w:widowControl/>
              <w:jc w:val="center"/>
              <w:rPr>
                <w:rFonts w:ascii="黑体" w:hAnsi="黑体" w:eastAsia="黑体" w:cs="宋体"/>
                <w:b/>
                <w:bCs/>
                <w:color w:val="000000"/>
                <w:kern w:val="0"/>
                <w:szCs w:val="21"/>
              </w:rPr>
            </w:pPr>
          </w:p>
        </w:tc>
        <w:tc>
          <w:tcPr>
            <w:tcW w:w="2268" w:type="dxa"/>
            <w:vMerge w:val="continue"/>
            <w:vAlign w:val="center"/>
          </w:tcPr>
          <w:p>
            <w:pPr>
              <w:widowControl/>
              <w:jc w:val="center"/>
              <w:rPr>
                <w:rFonts w:ascii="黑体" w:hAnsi="黑体" w:eastAsia="黑体" w:cs="宋体"/>
                <w:b/>
                <w:bCs/>
                <w:color w:val="000000"/>
                <w:kern w:val="0"/>
                <w:szCs w:val="21"/>
              </w:rPr>
            </w:pPr>
          </w:p>
        </w:tc>
        <w:tc>
          <w:tcPr>
            <w:tcW w:w="1418" w:type="dxa"/>
            <w:vMerge w:val="continue"/>
            <w:vAlign w:val="center"/>
          </w:tcPr>
          <w:p>
            <w:pPr>
              <w:widowControl/>
              <w:jc w:val="center"/>
              <w:rPr>
                <w:rFonts w:ascii="黑体" w:hAnsi="黑体" w:eastAsia="黑体" w:cs="宋体"/>
                <w:b/>
                <w:bCs/>
                <w:color w:val="000000"/>
                <w:kern w:val="0"/>
                <w:szCs w:val="21"/>
              </w:rPr>
            </w:pPr>
          </w:p>
        </w:tc>
        <w:tc>
          <w:tcPr>
            <w:tcW w:w="8679" w:type="dxa"/>
            <w:gridSpan w:val="2"/>
            <w:vMerge w:val="continue"/>
            <w:vAlign w:val="center"/>
          </w:tcPr>
          <w:p>
            <w:pPr>
              <w:widowControl/>
              <w:jc w:val="center"/>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continue"/>
            <w:vAlign w:val="center"/>
          </w:tcPr>
          <w:p>
            <w:pPr>
              <w:widowControl/>
              <w:jc w:val="left"/>
              <w:rPr>
                <w:rFonts w:ascii="宋体" w:hAnsi="宋体" w:cs="宋体"/>
                <w:color w:val="000000"/>
                <w:kern w:val="0"/>
                <w:szCs w:val="21"/>
              </w:rPr>
            </w:pPr>
          </w:p>
        </w:tc>
        <w:tc>
          <w:tcPr>
            <w:tcW w:w="2268" w:type="dxa"/>
            <w:vMerge w:val="continue"/>
            <w:vAlign w:val="center"/>
          </w:tcPr>
          <w:p>
            <w:pPr>
              <w:widowControl/>
              <w:jc w:val="lef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8679" w:type="dxa"/>
            <w:gridSpan w:val="2"/>
            <w:vMerge w:val="continue"/>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Align w:val="center"/>
          </w:tcPr>
          <w:p>
            <w:pPr>
              <w:widowControl/>
              <w:jc w:val="left"/>
              <w:rPr>
                <w:rFonts w:ascii="宋体" w:hAnsi="宋体" w:cs="宋体"/>
                <w:color w:val="000000"/>
                <w:kern w:val="0"/>
                <w:szCs w:val="21"/>
              </w:rPr>
            </w:pP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17.68</w:t>
            </w:r>
          </w:p>
        </w:tc>
        <w:tc>
          <w:tcPr>
            <w:tcW w:w="8679" w:type="dxa"/>
            <w:gridSpan w:val="2"/>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21200217GHY0001</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全市统计工作会</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3.68</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1.全市统计工作会3.68万元</w:t>
            </w:r>
          </w:p>
          <w:p>
            <w:pPr>
              <w:widowControl/>
              <w:jc w:val="left"/>
              <w:rPr>
                <w:rFonts w:ascii="宋体" w:hAnsi="宋体" w:cs="宋体"/>
                <w:color w:val="000000"/>
                <w:kern w:val="0"/>
                <w:szCs w:val="21"/>
              </w:rPr>
            </w:pPr>
            <w:r>
              <w:rPr>
                <w:rFonts w:hint="eastAsia" w:ascii="宋体" w:hAnsi="宋体" w:cs="宋体"/>
                <w:color w:val="000000"/>
                <w:kern w:val="0"/>
                <w:szCs w:val="21"/>
              </w:rPr>
              <w:t>　　准备于</w:t>
            </w:r>
            <w:r>
              <w:rPr>
                <w:rFonts w:ascii="宋体" w:hAnsi="宋体" w:cs="宋体"/>
                <w:color w:val="000000"/>
                <w:kern w:val="0"/>
                <w:szCs w:val="21"/>
              </w:rPr>
              <w:t>2017年3月下旬召开全市统计和调查工作会议，现将有关事项通知如下：</w:t>
            </w:r>
          </w:p>
          <w:p>
            <w:pPr>
              <w:widowControl/>
              <w:jc w:val="left"/>
              <w:rPr>
                <w:rFonts w:ascii="宋体" w:hAnsi="宋体" w:cs="宋体"/>
                <w:color w:val="000000"/>
                <w:kern w:val="0"/>
                <w:szCs w:val="21"/>
              </w:rPr>
            </w:pPr>
            <w:r>
              <w:rPr>
                <w:rFonts w:hint="eastAsia" w:ascii="宋体" w:hAnsi="宋体" w:cs="宋体"/>
                <w:color w:val="000000"/>
                <w:kern w:val="0"/>
                <w:szCs w:val="21"/>
              </w:rPr>
              <w:t>　　一、会议内容</w:t>
            </w:r>
          </w:p>
          <w:p>
            <w:pPr>
              <w:widowControl/>
              <w:jc w:val="left"/>
              <w:rPr>
                <w:rFonts w:ascii="宋体" w:hAnsi="宋体" w:cs="宋体"/>
                <w:color w:val="000000"/>
                <w:kern w:val="0"/>
                <w:szCs w:val="21"/>
              </w:rPr>
            </w:pPr>
            <w:r>
              <w:rPr>
                <w:rFonts w:hint="eastAsia" w:ascii="宋体" w:hAnsi="宋体" w:cs="宋体"/>
                <w:color w:val="000000"/>
                <w:kern w:val="0"/>
                <w:szCs w:val="21"/>
              </w:rPr>
              <w:t>　　贯彻落实市委、市政府和省统计局、省调查总队有关会议精神，总结</w:t>
            </w:r>
            <w:r>
              <w:rPr>
                <w:rFonts w:ascii="宋体" w:hAnsi="宋体" w:cs="宋体"/>
                <w:color w:val="000000"/>
                <w:kern w:val="0"/>
                <w:szCs w:val="21"/>
              </w:rPr>
              <w:t>2016年全市统计及调查工作，部署2017年全市统计和调查工作任务。</w:t>
            </w:r>
          </w:p>
          <w:p>
            <w:pPr>
              <w:widowControl/>
              <w:jc w:val="left"/>
              <w:rPr>
                <w:rFonts w:ascii="宋体" w:hAnsi="宋体" w:cs="宋体"/>
                <w:color w:val="000000"/>
                <w:kern w:val="0"/>
                <w:szCs w:val="21"/>
              </w:rPr>
            </w:pPr>
            <w:r>
              <w:rPr>
                <w:rFonts w:hint="eastAsia" w:ascii="宋体" w:hAnsi="宋体" w:cs="宋体"/>
                <w:color w:val="000000"/>
                <w:kern w:val="0"/>
                <w:szCs w:val="21"/>
              </w:rPr>
              <w:t>　　二、参会人员</w:t>
            </w:r>
          </w:p>
          <w:p>
            <w:pPr>
              <w:widowControl/>
              <w:jc w:val="left"/>
              <w:rPr>
                <w:rFonts w:ascii="宋体" w:hAnsi="宋体" w:cs="宋体"/>
                <w:color w:val="000000"/>
                <w:kern w:val="0"/>
                <w:szCs w:val="21"/>
              </w:rPr>
            </w:pPr>
            <w:r>
              <w:rPr>
                <w:rFonts w:hint="eastAsia" w:ascii="宋体" w:hAnsi="宋体" w:cs="宋体"/>
                <w:color w:val="000000"/>
                <w:kern w:val="0"/>
                <w:szCs w:val="21"/>
              </w:rPr>
              <w:t>　　各县（市）区、开发区、管理区主管统计工作的负责人及统计局（统计机构）、县级国家调查队主要领导，市局、队各处室主要负责同志，市局队领导班子成员，市直相关单位主管领导和重点企业主管统计领导及统计工作人员各</w:t>
            </w:r>
            <w:r>
              <w:rPr>
                <w:rFonts w:ascii="宋体" w:hAnsi="宋体" w:cs="宋体"/>
                <w:color w:val="000000"/>
                <w:kern w:val="0"/>
                <w:szCs w:val="21"/>
              </w:rPr>
              <w:t>1名。</w:t>
            </w:r>
          </w:p>
          <w:p>
            <w:pPr>
              <w:widowControl/>
              <w:jc w:val="left"/>
              <w:rPr>
                <w:rFonts w:ascii="宋体" w:hAnsi="宋体" w:cs="宋体"/>
                <w:color w:val="000000"/>
                <w:kern w:val="0"/>
                <w:szCs w:val="21"/>
              </w:rPr>
            </w:pPr>
            <w:r>
              <w:rPr>
                <w:rFonts w:hint="eastAsia" w:ascii="宋体" w:hAnsi="宋体" w:cs="宋体"/>
                <w:color w:val="000000"/>
                <w:kern w:val="0"/>
                <w:szCs w:val="21"/>
              </w:rPr>
              <w:t>　　三、会议时间及地点</w:t>
            </w:r>
          </w:p>
          <w:p>
            <w:pPr>
              <w:widowControl/>
              <w:jc w:val="left"/>
              <w:rPr>
                <w:rFonts w:ascii="宋体" w:hAnsi="宋体" w:cs="宋体"/>
                <w:color w:val="000000"/>
                <w:kern w:val="0"/>
                <w:szCs w:val="21"/>
              </w:rPr>
            </w:pPr>
            <w:r>
              <w:rPr>
                <w:rFonts w:hint="eastAsia" w:ascii="宋体" w:hAnsi="宋体" w:cs="宋体"/>
                <w:color w:val="000000"/>
                <w:kern w:val="0"/>
                <w:szCs w:val="21"/>
              </w:rPr>
              <w:t>　　拟于</w:t>
            </w:r>
            <w:r>
              <w:rPr>
                <w:rFonts w:ascii="宋体" w:hAnsi="宋体" w:cs="宋体"/>
                <w:color w:val="000000"/>
                <w:kern w:val="0"/>
                <w:szCs w:val="21"/>
              </w:rPr>
              <w:t>3月下旬在唐山宾馆召开，会期1天。</w:t>
            </w:r>
          </w:p>
          <w:p>
            <w:pPr>
              <w:widowControl/>
              <w:jc w:val="left"/>
              <w:rPr>
                <w:rFonts w:ascii="宋体" w:hAnsi="宋体" w:cs="宋体"/>
                <w:color w:val="000000"/>
                <w:kern w:val="0"/>
                <w:szCs w:val="21"/>
              </w:rPr>
            </w:pPr>
            <w:r>
              <w:rPr>
                <w:rFonts w:hint="eastAsia" w:ascii="宋体" w:hAnsi="宋体" w:cs="宋体"/>
                <w:color w:val="000000"/>
                <w:kern w:val="0"/>
                <w:szCs w:val="21"/>
              </w:rPr>
              <w:t>　　经费预算</w:t>
            </w:r>
          </w:p>
          <w:p>
            <w:pPr>
              <w:widowControl/>
              <w:jc w:val="left"/>
              <w:rPr>
                <w:rFonts w:ascii="宋体" w:hAnsi="宋体" w:cs="宋体"/>
                <w:color w:val="000000"/>
                <w:kern w:val="0"/>
                <w:szCs w:val="21"/>
              </w:rPr>
            </w:pPr>
            <w:r>
              <w:rPr>
                <w:rFonts w:ascii="宋体" w:hAnsi="宋体" w:cs="宋体"/>
                <w:color w:val="000000"/>
                <w:kern w:val="0"/>
                <w:szCs w:val="21"/>
              </w:rPr>
              <w:t xml:space="preserve">  200人*1*200.00=40000.00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21200217GPX0002</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统计职称考务工作培训费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统计职称考务工作培训费</w:t>
            </w:r>
            <w:r>
              <w:rPr>
                <w:rFonts w:ascii="宋体" w:hAnsi="宋体" w:cs="宋体"/>
                <w:color w:val="000000"/>
                <w:kern w:val="0"/>
                <w:szCs w:val="21"/>
              </w:rPr>
              <w:t>2万，属于对考生的考前辅导、培训。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21200217GPX0003</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统计系统年报培训会</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9.00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为了高质量的完成年定报工作，现将有关工作规定如下：</w:t>
            </w:r>
          </w:p>
          <w:p>
            <w:pPr>
              <w:widowControl/>
              <w:jc w:val="left"/>
              <w:rPr>
                <w:rFonts w:ascii="宋体" w:hAnsi="宋体" w:cs="宋体"/>
                <w:color w:val="000000"/>
                <w:kern w:val="0"/>
                <w:szCs w:val="21"/>
              </w:rPr>
            </w:pPr>
            <w:r>
              <w:rPr>
                <w:rFonts w:hint="eastAsia" w:ascii="宋体" w:hAnsi="宋体" w:cs="宋体"/>
                <w:color w:val="000000"/>
                <w:kern w:val="0"/>
                <w:szCs w:val="21"/>
              </w:rPr>
              <w:t>　　一、会议地点</w:t>
            </w:r>
          </w:p>
          <w:p>
            <w:pPr>
              <w:widowControl/>
              <w:jc w:val="left"/>
              <w:rPr>
                <w:rFonts w:ascii="宋体" w:hAnsi="宋体" w:cs="宋体"/>
                <w:color w:val="000000"/>
                <w:kern w:val="0"/>
                <w:szCs w:val="21"/>
              </w:rPr>
            </w:pPr>
            <w:r>
              <w:rPr>
                <w:rFonts w:hint="eastAsia" w:ascii="宋体" w:hAnsi="宋体" w:cs="宋体"/>
                <w:color w:val="000000"/>
                <w:kern w:val="0"/>
                <w:szCs w:val="21"/>
              </w:rPr>
              <w:t>　　凯源宾馆</w:t>
            </w:r>
          </w:p>
          <w:p>
            <w:pPr>
              <w:widowControl/>
              <w:jc w:val="left"/>
              <w:rPr>
                <w:rFonts w:ascii="宋体" w:hAnsi="宋体" w:cs="宋体"/>
                <w:color w:val="000000"/>
                <w:kern w:val="0"/>
                <w:szCs w:val="21"/>
              </w:rPr>
            </w:pPr>
            <w:r>
              <w:rPr>
                <w:rFonts w:hint="eastAsia" w:ascii="宋体" w:hAnsi="宋体" w:cs="宋体"/>
                <w:color w:val="000000"/>
                <w:kern w:val="0"/>
                <w:szCs w:val="21"/>
              </w:rPr>
              <w:t>　　二、参加人员</w:t>
            </w:r>
          </w:p>
          <w:p>
            <w:pPr>
              <w:widowControl/>
              <w:jc w:val="left"/>
              <w:rPr>
                <w:rFonts w:ascii="宋体" w:hAnsi="宋体" w:cs="宋体"/>
                <w:color w:val="000000"/>
                <w:kern w:val="0"/>
                <w:szCs w:val="21"/>
              </w:rPr>
            </w:pPr>
            <w:r>
              <w:rPr>
                <w:rFonts w:hint="eastAsia" w:ascii="宋体" w:hAnsi="宋体" w:cs="宋体"/>
                <w:color w:val="000000"/>
                <w:kern w:val="0"/>
                <w:szCs w:val="21"/>
              </w:rPr>
              <w:t>　　各县（市）区统计局主管局领导和各科长及专业负责人</w:t>
            </w:r>
          </w:p>
          <w:p>
            <w:pPr>
              <w:widowControl/>
              <w:jc w:val="left"/>
              <w:rPr>
                <w:rFonts w:ascii="宋体" w:hAnsi="宋体" w:cs="宋体"/>
                <w:color w:val="000000"/>
                <w:kern w:val="0"/>
                <w:szCs w:val="21"/>
              </w:rPr>
            </w:pPr>
            <w:r>
              <w:rPr>
                <w:rFonts w:hint="eastAsia" w:ascii="宋体" w:hAnsi="宋体" w:cs="宋体"/>
                <w:color w:val="000000"/>
                <w:kern w:val="0"/>
                <w:szCs w:val="21"/>
              </w:rPr>
              <w:t>　　三、会议种类</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1.核算年报工作和程序培训会议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2.民营经济年报工作和程序培训会议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3.工业专业年报工作和程序培训会议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4.投资专业年报工作和程序培训会议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5.能源专业年报工作和程序培训会议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6.贸易外经专业年报工作和程序培训会议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7.社会科技专业年报和程序培训会议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8.人口与就业专业年报和程序培训会议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9.农业专</w:t>
            </w:r>
            <w:r>
              <w:rPr>
                <w:rFonts w:hint="eastAsia" w:ascii="宋体" w:hAnsi="宋体" w:cs="宋体"/>
                <w:color w:val="000000"/>
                <w:kern w:val="0"/>
                <w:szCs w:val="21"/>
              </w:rPr>
              <w:t>业年报和程序培训会议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10.服务业专业年报和程序培训会议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11.名录库年报工作和程序培训会议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12.综合统计年报工作和程序培训会议</w:t>
            </w:r>
          </w:p>
          <w:p>
            <w:pPr>
              <w:widowControl/>
              <w:jc w:val="left"/>
              <w:rPr>
                <w:rFonts w:ascii="宋体" w:hAnsi="宋体" w:cs="宋体"/>
                <w:color w:val="000000"/>
                <w:kern w:val="0"/>
                <w:szCs w:val="21"/>
              </w:rPr>
            </w:pPr>
            <w:r>
              <w:rPr>
                <w:rFonts w:hint="eastAsia" w:ascii="宋体" w:hAnsi="宋体" w:cs="宋体"/>
                <w:color w:val="000000"/>
                <w:kern w:val="0"/>
                <w:szCs w:val="21"/>
              </w:rPr>
              <w:t>　　四、会议时间及会期</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11月下旬至12月底，会期1天</w:t>
            </w:r>
          </w:p>
          <w:p>
            <w:pPr>
              <w:widowControl/>
              <w:jc w:val="left"/>
              <w:rPr>
                <w:rFonts w:ascii="宋体" w:hAnsi="宋体" w:cs="宋体"/>
                <w:color w:val="000000"/>
                <w:kern w:val="0"/>
                <w:szCs w:val="21"/>
              </w:rPr>
            </w:pPr>
            <w:r>
              <w:rPr>
                <w:rFonts w:hint="eastAsia" w:ascii="宋体" w:hAnsi="宋体" w:cs="宋体"/>
                <w:color w:val="000000"/>
                <w:kern w:val="0"/>
                <w:szCs w:val="21"/>
              </w:rPr>
              <w:t>　　五、经费预算</w:t>
            </w:r>
          </w:p>
          <w:p>
            <w:pPr>
              <w:widowControl/>
              <w:jc w:val="left"/>
              <w:rPr>
                <w:rFonts w:ascii="宋体" w:hAnsi="宋体" w:cs="宋体"/>
                <w:color w:val="000000"/>
                <w:kern w:val="0"/>
                <w:szCs w:val="21"/>
              </w:rPr>
            </w:pPr>
            <w:r>
              <w:rPr>
                <w:rFonts w:hint="eastAsia" w:ascii="宋体" w:hAnsi="宋体" w:cs="宋体"/>
                <w:color w:val="000000"/>
                <w:kern w:val="0"/>
                <w:szCs w:val="21"/>
              </w:rPr>
              <w:t>　　年报工作会议</w:t>
            </w:r>
            <w:r>
              <w:rPr>
                <w:rFonts w:ascii="宋体" w:hAnsi="宋体" w:cs="宋体"/>
                <w:color w:val="000000"/>
                <w:kern w:val="0"/>
                <w:szCs w:val="21"/>
              </w:rPr>
              <w:t xml:space="preserve">   450人*100=4.5万元</w:t>
            </w:r>
          </w:p>
          <w:p>
            <w:pPr>
              <w:widowControl/>
              <w:jc w:val="left"/>
              <w:rPr>
                <w:rFonts w:ascii="宋体" w:hAnsi="宋体" w:cs="宋体"/>
                <w:color w:val="000000"/>
                <w:kern w:val="0"/>
                <w:szCs w:val="21"/>
              </w:rPr>
            </w:pPr>
            <w:r>
              <w:rPr>
                <w:rFonts w:hint="eastAsia" w:ascii="宋体" w:hAnsi="宋体" w:cs="宋体"/>
                <w:color w:val="000000"/>
                <w:kern w:val="0"/>
                <w:szCs w:val="21"/>
              </w:rPr>
              <w:t>　　年报程序培训会议</w:t>
            </w:r>
            <w:r>
              <w:rPr>
                <w:rFonts w:ascii="宋体" w:hAnsi="宋体" w:cs="宋体"/>
                <w:color w:val="000000"/>
                <w:kern w:val="0"/>
                <w:szCs w:val="21"/>
              </w:rPr>
              <w:t xml:space="preserve"> 450人*100=4.5万元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21200217GZX0004</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统计职称考务人员劳务费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1.统计职称考务人员劳务费3万，统计职称考试（每年举办一次）的巡视、监考费和辅导老师的劳务费。</w:t>
            </w:r>
          </w:p>
          <w:p>
            <w:pPr>
              <w:widowControl/>
              <w:jc w:val="left"/>
              <w:rPr>
                <w:rFonts w:ascii="宋体" w:hAnsi="宋体" w:cs="宋体"/>
                <w:color w:val="000000"/>
                <w:kern w:val="0"/>
                <w:szCs w:val="21"/>
              </w:rPr>
            </w:pPr>
            <w:r>
              <w:rPr>
                <w:rFonts w:hint="eastAsia" w:ascii="宋体" w:hAnsi="宋体" w:cs="宋体"/>
                <w:color w:val="000000"/>
                <w:kern w:val="0"/>
                <w:szCs w:val="21"/>
              </w:rPr>
              <w:t>　　　　</w:t>
            </w:r>
          </w:p>
        </w:tc>
      </w:tr>
    </w:tbl>
    <w:p>
      <w:pPr>
        <w:spacing w:line="20" w:lineRule="exact"/>
        <w:jc w:val="center"/>
        <w:rPr>
          <w:rFonts w:ascii="黑体" w:eastAsia="黑体"/>
          <w:b/>
          <w:sz w:val="32"/>
          <w:szCs w:val="32"/>
        </w:rPr>
      </w:pPr>
    </w:p>
    <w:p>
      <w:pPr>
        <w:spacing w:line="20" w:lineRule="exact"/>
        <w:jc w:val="center"/>
        <w:rPr>
          <w:rFonts w:ascii="黑体" w:eastAsia="黑体"/>
          <w:b/>
          <w:sz w:val="32"/>
          <w:szCs w:val="32"/>
        </w:rPr>
      </w:pPr>
    </w:p>
    <w:p>
      <w:pPr>
        <w:spacing w:line="20" w:lineRule="exact"/>
        <w:jc w:val="center"/>
        <w:rPr>
          <w:rFonts w:ascii="黑体" w:eastAsia="黑体"/>
          <w:b/>
          <w:sz w:val="32"/>
          <w:szCs w:val="32"/>
        </w:rPr>
      </w:pPr>
    </w:p>
    <w:p>
      <w:pPr>
        <w:spacing w:line="20" w:lineRule="exact"/>
      </w:pPr>
    </w:p>
    <w:p>
      <w:pPr>
        <w:spacing w:line="360" w:lineRule="auto"/>
        <w:jc w:val="left"/>
        <w:sectPr>
          <w:headerReference r:id="rId28" w:type="default"/>
          <w:pgSz w:w="16838" w:h="11906" w:orient="landscape"/>
          <w:pgMar w:top="1800" w:right="1440" w:bottom="1800" w:left="1440" w:header="851" w:footer="992" w:gutter="0"/>
          <w:cols w:space="720" w:num="1"/>
          <w:docGrid w:type="lines" w:linePitch="312"/>
        </w:sectPr>
      </w:pPr>
    </w:p>
    <w:p>
      <w:pPr>
        <w:spacing w:line="480" w:lineRule="auto"/>
        <w:jc w:val="left"/>
        <w:rPr>
          <w:rFonts w:ascii="宋体" w:hAnsi="宋体"/>
          <w:b/>
          <w:color w:val="000000"/>
          <w:sz w:val="28"/>
        </w:rPr>
      </w:pPr>
      <w:r>
        <w:rPr>
          <w:rFonts w:ascii="宋体" w:hAnsi="宋体"/>
          <w:b/>
          <w:color w:val="000000"/>
          <w:sz w:val="28"/>
        </w:rPr>
        <w:t>（二）专项项目安排说明</w:t>
      </w:r>
    </w:p>
    <w:p/>
    <w:p>
      <w:pPr>
        <w:spacing w:line="360" w:lineRule="auto"/>
        <w:jc w:val="left"/>
        <w:sectPr>
          <w:pgSz w:w="11906" w:h="16838"/>
          <w:pgMar w:top="1440" w:right="1800" w:bottom="1440" w:left="1800" w:header="851" w:footer="992" w:gutter="0"/>
          <w:cols w:space="720" w:num="1"/>
          <w:docGrid w:type="lines" w:linePitch="312"/>
        </w:sectPr>
      </w:pPr>
    </w:p>
    <w:p>
      <w:pPr>
        <w:spacing w:line="360" w:lineRule="auto"/>
        <w:jc w:val="left"/>
        <w:rPr>
          <w:rFonts w:ascii="宋体" w:hAnsi="宋体"/>
          <w:b/>
          <w:color w:val="000000"/>
          <w:sz w:val="44"/>
        </w:rPr>
      </w:pPr>
    </w:p>
    <w:p>
      <w:pPr>
        <w:spacing w:line="360" w:lineRule="auto"/>
        <w:jc w:val="left"/>
        <w:rPr>
          <w:rFonts w:ascii="宋体" w:hAnsi="宋体"/>
          <w:b/>
          <w:color w:val="000000"/>
          <w:sz w:val="44"/>
        </w:rPr>
      </w:pPr>
    </w:p>
    <w:p>
      <w:pPr>
        <w:spacing w:line="360" w:lineRule="auto"/>
        <w:jc w:val="left"/>
        <w:rPr>
          <w:rFonts w:ascii="宋体" w:hAnsi="宋体"/>
          <w:b/>
          <w:color w:val="000000"/>
          <w:sz w:val="44"/>
        </w:rPr>
      </w:pPr>
    </w:p>
    <w:p>
      <w:pPr>
        <w:spacing w:line="360" w:lineRule="auto"/>
        <w:jc w:val="left"/>
        <w:rPr>
          <w:rFonts w:ascii="宋体" w:hAnsi="宋体"/>
          <w:b/>
          <w:color w:val="000000"/>
          <w:sz w:val="44"/>
        </w:rPr>
      </w:pPr>
    </w:p>
    <w:p>
      <w:pPr>
        <w:pStyle w:val="2"/>
        <w:jc w:val="center"/>
        <w:sectPr>
          <w:pgSz w:w="11906" w:h="16838"/>
          <w:pgMar w:top="1440" w:right="1800" w:bottom="1440" w:left="1800" w:header="851" w:footer="992" w:gutter="0"/>
          <w:cols w:space="720" w:num="1"/>
          <w:docGrid w:type="lines" w:linePitch="312"/>
        </w:sectPr>
      </w:pPr>
      <w:bookmarkStart w:id="16" w:name="_Toc476153814"/>
      <w:r>
        <w:t>二、唐山市统计局（参公2户）收支预算安排</w:t>
      </w:r>
      <w:bookmarkEnd w:id="16"/>
    </w:p>
    <w:p>
      <w:pPr>
        <w:jc w:val="center"/>
        <w:rPr>
          <w:rFonts w:ascii="宋体" w:hAnsi="宋体"/>
          <w:b/>
          <w:color w:val="000000"/>
          <w:sz w:val="44"/>
        </w:rPr>
      </w:pPr>
      <w:r>
        <w:rPr>
          <w:rFonts w:hint="eastAsia" w:ascii="宋体" w:hAnsi="宋体"/>
          <w:b/>
          <w:color w:val="000000"/>
          <w:sz w:val="44"/>
        </w:rPr>
        <w:t>唐山市统计局（参公2户）职责任务与目标</w:t>
      </w:r>
    </w:p>
    <w:p>
      <w:pPr>
        <w:spacing w:line="480" w:lineRule="auto"/>
        <w:jc w:val="left"/>
        <w:rPr>
          <w:rFonts w:ascii="宋体" w:hAnsi="宋体"/>
          <w:b/>
          <w:color w:val="000000"/>
          <w:sz w:val="28"/>
        </w:rPr>
      </w:pPr>
      <w:r>
        <w:rPr>
          <w:rFonts w:ascii="宋体" w:hAnsi="宋体"/>
          <w:b/>
          <w:color w:val="000000"/>
          <w:sz w:val="28"/>
        </w:rPr>
        <w:t>一、主要职责</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1、农村经济调查队</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主要职能：贯彻执行全省统计方法制度，组织实施全市农村住户、农产量、农产品价格及中间消耗、农村社会经济等基本情况调查统计工作；准确、及时、搜集、整理、审核和提供农村社会经济统计调查资料；履行农村调查统计信息、咨询、监督的整体功能。对农村社会经济运行情况进行浏览及开展定量分析和系统分析，向各级党委和政府领导和社会公众提供统计调查资料及信息咨询服务；指导各县（市）区农调队开展有关调查工作，负责对各级农村统计调查人员的培训指导工作；承担市委、市政府及市统计局交办的其他统计调查的分析研究工作；协助省农调队对丰润区、乐亭县、迁安市农调队的各项工作的管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）其他情况：唐山市农村经济调查队为唐山市统计局所属正科级事业单位。目前能较好的履行所担负的职能任务，无职能不能正常运转的情况。</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Times New Roman" w:cs="宋体"/>
          <w:kern w:val="0"/>
          <w:szCs w:val="21"/>
        </w:rPr>
        <w:t>2、</w:t>
      </w:r>
      <w:r>
        <w:rPr>
          <w:rFonts w:hint="eastAsia" w:ascii="宋体" w:hAnsi="宋体" w:cs="宋体"/>
          <w:kern w:val="0"/>
          <w:szCs w:val="21"/>
        </w:rPr>
        <w:t>唐山市普查中心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主要职能：根据国家对人口普查、第三产业普查、工业普查、农业普查没十年进行一次，分别在逢零、三、五、七的年份实施，基本单位普查每五年进行一次，逢一、六年份实施一次的意见，唐山市普查中心的主要职能是：制定我市普查计划；负责研究和提出市情市力的普查方案，组织实施我市人口、工业、农业、第三产业和基本单位普查；研究解决普查专业技术方面的各类问题；检查评估普查数据质量；负责全市各种普查和专项统计调查的数据汇总、上报、资料分析和管理，提供咨询服务；负责指导与各种普查和专项统计调查有关的统计基础工作，并负责对人员进行培训。</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Times New Roman" w:hAnsi="Times New Roman"/>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）其他情况：唐山市普查中心为为唐山市统计局下属副县级事业单位。目前能较好的履行所担负的职能任务，无职能不能正常运转的情况。</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pPr>
      <w:r>
        <w:rPr>
          <w:rFonts w:hint="eastAsia" w:ascii="宋体" w:hAnsi="宋体" w:cs="宋体"/>
          <w:kern w:val="0"/>
          <w:szCs w:val="21"/>
        </w:rPr>
        <w:t>贯彻执行国家统计局和省统计局制定的统计调查制度，组织是市城镇住户调擦、价格调查和专项调查等城市社会经济调查方案；准确、及时、系统地搜集、整理和编印城市社会经济统计调查资料；开展对城市社会经济问题的分析研究，领导和管理所辖县（市）城调队有关统计调查工作，负责对县（市）调查人员的业务培训和组织指导工作；承担有关城市社会经济方面的委托性调查业务；承担地方政府交办的统计调查、统计监测和分析研究工作。实施企业抽样调查和企业专项调查，对涉及企业的重要统计数据质量进行检验和评估。准确及时地搜集整理和编印抽样调查和专项调查资料。开发统计分析研究工作，特别是与企业改革和发展市场经济体系密切相关的专题分析研究，向各级党政领导和社会公众提供企业调查资料和信息。完成当地政府交办的统计调查和分析研究任务。承办其他有关企业经济方面的委托性调查业务课题研究任务。</w:t>
      </w:r>
    </w:p>
    <w:p>
      <w:pPr>
        <w:spacing w:line="480" w:lineRule="auto"/>
        <w:jc w:val="left"/>
        <w:rPr>
          <w:rFonts w:ascii="宋体" w:hAnsi="宋体"/>
          <w:b/>
          <w:color w:val="000000"/>
          <w:sz w:val="28"/>
        </w:rPr>
      </w:pPr>
      <w:r>
        <w:rPr>
          <w:rFonts w:ascii="宋体" w:hAnsi="宋体"/>
          <w:b/>
          <w:color w:val="000000"/>
          <w:sz w:val="28"/>
        </w:rPr>
        <w:t>二、主要任务及目标规划</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hint="eastAsia" w:ascii="宋体" w:hAnsi="宋体" w:cs="宋体"/>
          <w:kern w:val="0"/>
          <w:szCs w:val="21"/>
        </w:rPr>
        <w:t>唐山市农村经济调查队</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hint="eastAsia" w:ascii="宋体" w:hAnsi="宋体" w:cs="宋体"/>
          <w:kern w:val="0"/>
          <w:szCs w:val="21"/>
        </w:rPr>
        <w:t>主要任务：贯彻执行全省统计方法制度，组织实施全市农村住户、农产量、农产品价格及中间消耗、农村社会经济等基本情况调查统计工作；准确、及时、搜集、整理、审核和提供农村社会经济统计调查资料；履行农村调查统计信息、咨询、监督的整体功能。对农村社会经济运行情况进行浏览及开展定量分析和系统分析，向各级党委和政府领导和社会公众提供统计调查资料及信息咨询服务；指导各县（市）区农调队开展有关调查工作，负责对各级农村统计调查人员的培训指导工作；承担市委、市政府及市统计局交办的其他统计调查的分析研究工作；协助省农调队对丰润区、乐亭县、迁安市农调队的各项工作的管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hint="eastAsia" w:ascii="宋体" w:hAnsi="宋体" w:cs="宋体"/>
          <w:kern w:val="0"/>
          <w:szCs w:val="21"/>
        </w:rPr>
        <w:t>唐山市普查中心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Times New Roman" w:hAnsi="Times New Roman"/>
          <w:kern w:val="0"/>
          <w:szCs w:val="21"/>
        </w:rPr>
      </w:pPr>
      <w:r>
        <w:rPr>
          <w:rFonts w:hint="eastAsia" w:ascii="宋体" w:hAnsi="宋体" w:cs="宋体"/>
          <w:kern w:val="0"/>
          <w:szCs w:val="21"/>
        </w:rPr>
        <w:t>根据国家对人口普查、第三产业普查、工业普查、农业普查没十年进行一次，分别在逢零、三、五、七的年份实施，基本单位普查每五年进行一次，逢一、六年份实施一次的意见，唐山市普查中心的主要职能是：制定我市普查计划；负责研究和提出市情市力的普查方案，组织实施我市人口、工业、农业、第三产业和基本单位普查；研究解决普查专业技术方面的各类问题；检查评估普查数据质量；负责全市各种普查和专项统计调查的数据汇总、上报、资料分析和管理，提供咨询服务；负责指导与各种普查和专项统计调查有关的统计基础工作，并负责对人员进行培训。</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rPr>
          <w:rFonts w:ascii="宋体" w:hAnsi="宋体" w:cs="宋体"/>
          <w:kern w:val="0"/>
          <w:szCs w:val="21"/>
        </w:rPr>
      </w:pPr>
      <w:r>
        <w:rPr>
          <w:rFonts w:hint="eastAsia" w:ascii="宋体" w:hAnsi="宋体" w:cs="宋体"/>
          <w:kern w:val="0"/>
          <w:szCs w:val="21"/>
        </w:rPr>
        <w:t>（1）主要任务：贯彻执行国家统计局和省统计局制定的统计调查制度，组织是市城镇住户调擦、价格调查和专项调查等城市社会经济调查方案；准确、及时、系统地搜集、整理和编印城市社会经济统计调查资料；开展对城市社会经济问题的分析研究，向各级党政领导和社会公众提供统计调查资料和信息；领导和管理所辖县（市）城调队有关统计调查工作，负责对县（市）调查人员的业务培训和组织指导工作；承担有关城市社会经济方面的委托性调查业务；承担地方政府交办的统计调查、统计监测和分析研究工作。组织实施企业抽样调查和企业专项调查，对涉及企业的重要统计数据质量进行检验和评估。准确及时地搜集整理和编印抽样调查和专项调查资料。开发统计分析研究工作，特别是与企业改革和发展市场经济体系密切相关的专题分析研究，向各级党政领导和社会公众提供企业调查资料和信息。完成当地政府交办的统计调查和分析研究任务。承办其他有关企业经济方面的委托性调查业务课题研究任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pPr>
      <w:r>
        <w:rPr>
          <w:rFonts w:hint="eastAsia" w:ascii="宋体" w:hAnsi="宋体" w:cs="宋体"/>
          <w:kern w:val="0"/>
          <w:szCs w:val="21"/>
        </w:rPr>
        <w:t>（2）其他情况：唐山市普查中心为为唐山市统计局下属副县级事业单位。目前能较好的履行所担负的职能任务，无职能不能正常运转的情况。</w:t>
      </w:r>
    </w:p>
    <w:p>
      <w:pPr>
        <w:spacing w:line="360" w:lineRule="auto"/>
        <w:jc w:val="left"/>
        <w:sectPr>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收支预算总表</w:t>
      </w:r>
    </w:p>
    <w:tbl>
      <w:tblPr>
        <w:tblW w:w="9379" w:type="dxa"/>
        <w:jc w:val="center"/>
        <w:tblInd w:w="-40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96"/>
        <w:gridCol w:w="4961"/>
        <w:gridCol w:w="3022"/>
      </w:tblGrid>
      <w:tr>
        <w:trPr>
          <w:cantSplit/>
          <w:trHeight w:val="312" w:hRule="atLeast"/>
          <w:tblHeader/>
          <w:jc w:val="center"/>
        </w:trPr>
        <w:tc>
          <w:tcPr>
            <w:tcW w:w="6357" w:type="dxa"/>
            <w:gridSpan w:val="2"/>
            <w:tcBorders>
              <w:bottom w:val="single" w:color="auto" w:sz="4" w:space="0"/>
            </w:tcBorders>
            <w:vAlign w:val="center"/>
          </w:tcPr>
          <w:p>
            <w:pPr>
              <w:widowControl/>
              <w:jc w:val="left"/>
              <w:rPr>
                <w:rFonts w:ascii="黑体" w:eastAsia="黑体"/>
                <w:b/>
              </w:rPr>
            </w:pPr>
            <w:r>
              <w:rPr>
                <w:rFonts w:ascii="宋体" w:hAnsi="宋体"/>
                <w:sz w:val="28"/>
              </w:rPr>
              <w:t>212003唐山市统计局（参公2户）</w:t>
            </w:r>
          </w:p>
        </w:tc>
        <w:tc>
          <w:tcPr>
            <w:tcW w:w="3022" w:type="dxa"/>
            <w:tcBorders>
              <w:bottom w:val="single" w:color="auto" w:sz="4" w:space="0"/>
            </w:tcBorders>
            <w:vAlign w:val="center"/>
          </w:tcPr>
          <w:p>
            <w:pPr>
              <w:widowControl/>
              <w:jc w:val="right"/>
              <w:rPr>
                <w:rFonts w:ascii="黑体" w:eastAsia="黑体"/>
                <w:b/>
              </w:rPr>
            </w:pPr>
            <w:r>
              <w:rPr>
                <w:rFonts w:ascii="宋体" w:hAnsi="宋体"/>
                <w:sz w:val="24"/>
              </w:rPr>
              <w:t>单位：万元</w:t>
            </w:r>
          </w:p>
        </w:tc>
      </w:tr>
      <w:tr>
        <w:trPr>
          <w:cantSplit/>
          <w:trHeight w:val="312" w:hRule="atLeast"/>
          <w:tblHeader/>
          <w:jc w:val="center"/>
        </w:trPr>
        <w:tc>
          <w:tcPr>
            <w:tcW w:w="1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项目代码</w:t>
            </w:r>
          </w:p>
        </w:tc>
        <w:tc>
          <w:tcPr>
            <w:tcW w:w="4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预算收支项目</w:t>
            </w:r>
          </w:p>
        </w:tc>
        <w:tc>
          <w:tcPr>
            <w:tcW w:w="30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预算金额</w:t>
            </w:r>
          </w:p>
        </w:tc>
      </w:tr>
      <w:tr>
        <w:trPr>
          <w:cantSplit/>
          <w:trHeight w:val="312" w:hRule="atLeast"/>
          <w:tblHeader/>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c>
          <w:tcPr>
            <w:tcW w:w="30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r>
      <w:tr>
        <w:trPr>
          <w:cantSplit/>
          <w:trHeight w:val="312" w:hRule="atLeast"/>
          <w:tblHeader/>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p>
        </w:tc>
        <w:tc>
          <w:tcPr>
            <w:tcW w:w="3022"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hint="eastAsia" w:ascii="Arial" w:hAnsi="Arial" w:cs="Arial"/>
                <w:kern w:val="0"/>
                <w:szCs w:val="21"/>
              </w:rPr>
              <w:t>638.59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一般公共预算拨款</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hint="eastAsia" w:ascii="Arial" w:hAnsi="Arial" w:cs="Arial"/>
                <w:kern w:val="0"/>
                <w:szCs w:val="21"/>
              </w:rPr>
              <w:t>638.59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其中：财政拨款（补助）收入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hint="eastAsia" w:ascii="Arial" w:hAnsi="Arial" w:cs="Arial"/>
                <w:kern w:val="0"/>
                <w:szCs w:val="21"/>
              </w:rPr>
              <w:t>638.59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行政事业性收费</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罚没收入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国有资源（资产）有偿使用收入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国有资本经营收入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债务收入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上级转移支付资金</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其中：一般性转移支付</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专项转移支付</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其他</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政府性基金预算收入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国有资本经营预算收入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其他来源收入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其中：事业收入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上级补助收入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附属单位上缴收入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用事业基金弥补收支差额</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其他收入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预算支出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638.59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人员经费支出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275.81</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其中：工资福利支出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242.37</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对个人和家庭补助</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33.44</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207.78</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其中：正常公用经费支出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34.85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172.93</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专项项目支出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155</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bl>
    <w:p>
      <w:pPr>
        <w:spacing w:line="20" w:lineRule="exact"/>
        <w:jc w:val="left"/>
      </w:pPr>
    </w:p>
    <w:p>
      <w:pPr>
        <w:spacing w:line="360" w:lineRule="auto"/>
        <w:jc w:val="left"/>
        <w:sectPr>
          <w:headerReference r:id="rId29" w:type="default"/>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人员经费预算</w:t>
      </w:r>
    </w:p>
    <w:tbl>
      <w:tblPr>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
        <w:gridCol w:w="1436"/>
        <w:gridCol w:w="1417"/>
        <w:gridCol w:w="4253"/>
        <w:gridCol w:w="1417"/>
        <w:gridCol w:w="1418"/>
        <w:gridCol w:w="489"/>
        <w:gridCol w:w="928"/>
        <w:gridCol w:w="1276"/>
        <w:gridCol w:w="1180"/>
        <w:gridCol w:w="180"/>
      </w:tblGrid>
      <w:tr>
        <w:trPr>
          <w:gridAfter w:val="1"/>
          <w:wAfter w:w="180" w:type="dxa"/>
          <w:cantSplit/>
          <w:trHeight w:val="285" w:hRule="atLeast"/>
          <w:tblHeader/>
          <w:jc w:val="center"/>
        </w:trPr>
        <w:tc>
          <w:tcPr>
            <w:tcW w:w="10523" w:type="dxa"/>
            <w:gridSpan w:val="7"/>
            <w:tcBorders>
              <w:top w:val="nil"/>
              <w:left w:val="nil"/>
              <w:bottom w:val="nil"/>
              <w:right w:val="nil"/>
            </w:tcBorders>
            <w:shd w:val="clear" w:color="auto" w:fill="auto"/>
            <w:vAlign w:val="center"/>
          </w:tcPr>
          <w:p>
            <w:pPr>
              <w:widowControl/>
              <w:jc w:val="left"/>
              <w:rPr>
                <w:rFonts w:ascii="黑体" w:eastAsia="黑体"/>
                <w:b/>
              </w:rPr>
            </w:pPr>
            <w:r>
              <w:rPr>
                <w:rFonts w:ascii="宋体" w:hAnsi="宋体"/>
                <w:sz w:val="28"/>
              </w:rPr>
              <w:t>212003唐山市统计局（参公2户）</w:t>
            </w:r>
          </w:p>
        </w:tc>
        <w:tc>
          <w:tcPr>
            <w:tcW w:w="3384" w:type="dxa"/>
            <w:gridSpan w:val="3"/>
            <w:tcBorders>
              <w:top w:val="nil"/>
              <w:left w:val="nil"/>
              <w:bottom w:val="nil"/>
              <w:right w:val="nil"/>
            </w:tcBorders>
            <w:shd w:val="clear" w:color="000000" w:fill="FFFFFF"/>
            <w:vAlign w:val="center"/>
          </w:tcPr>
          <w:p>
            <w:pPr>
              <w:widowControl/>
              <w:jc w:val="right"/>
              <w:rPr>
                <w:rFonts w:ascii="黑体" w:eastAsia="黑体"/>
                <w:b/>
              </w:rPr>
            </w:pPr>
            <w:r>
              <w:rPr>
                <w:rFonts w:ascii="宋体" w:hAnsi="宋体"/>
                <w:sz w:val="24"/>
              </w:rPr>
              <w:t>单位：万元</w:t>
            </w:r>
          </w:p>
        </w:tc>
      </w:tr>
      <w:tr>
        <w:trPr>
          <w:gridBefore w:val="1"/>
          <w:wBefore w:w="93" w:type="dxa"/>
          <w:cantSplit/>
          <w:trHeight w:val="256" w:hRule="atLeast"/>
          <w:tblHeader/>
          <w:jc w:val="center"/>
        </w:trPr>
        <w:tc>
          <w:tcPr>
            <w:tcW w:w="1436"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功能分类科目编码</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经济分类科目编码</w:t>
            </w:r>
          </w:p>
        </w:tc>
        <w:tc>
          <w:tcPr>
            <w:tcW w:w="4253"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预算支出项目</w:t>
            </w:r>
          </w:p>
        </w:tc>
        <w:tc>
          <w:tcPr>
            <w:tcW w:w="6888" w:type="dxa"/>
            <w:gridSpan w:val="7"/>
            <w:vAlign w:val="center"/>
          </w:tcPr>
          <w:p>
            <w:pPr>
              <w:widowControl/>
              <w:jc w:val="center"/>
              <w:rPr>
                <w:rFonts w:ascii="黑体" w:hAnsi="黑体" w:eastAsia="黑体" w:cs="宋体"/>
                <w:b/>
                <w:color w:val="000000"/>
                <w:kern w:val="0"/>
                <w:szCs w:val="21"/>
              </w:rPr>
            </w:pPr>
            <w:r>
              <w:rPr>
                <w:rFonts w:hint="eastAsia" w:ascii="黑体" w:eastAsia="黑体"/>
                <w:b/>
              </w:rPr>
              <w:t>经 费 来 源</w:t>
            </w:r>
          </w:p>
        </w:tc>
      </w:tr>
      <w:tr>
        <w:trPr>
          <w:gridBefore w:val="1"/>
          <w:wBefore w:w="93" w:type="dxa"/>
          <w:cantSplit/>
          <w:trHeight w:val="312" w:hRule="atLeast"/>
          <w:tblHeader/>
          <w:jc w:val="center"/>
        </w:trPr>
        <w:tc>
          <w:tcPr>
            <w:tcW w:w="1436" w:type="dxa"/>
            <w:vMerge w:val="continue"/>
            <w:vAlign w:val="center"/>
          </w:tcPr>
          <w:p>
            <w:pPr>
              <w:widowControl/>
              <w:jc w:val="center"/>
              <w:rPr>
                <w:rFonts w:ascii="黑体" w:hAnsi="黑体" w:eastAsia="黑体" w:cs="宋体"/>
                <w:b/>
                <w:color w:val="000000"/>
                <w:kern w:val="0"/>
                <w:szCs w:val="21"/>
              </w:rPr>
            </w:pPr>
          </w:p>
        </w:tc>
        <w:tc>
          <w:tcPr>
            <w:tcW w:w="1417" w:type="dxa"/>
            <w:vMerge w:val="continue"/>
            <w:vAlign w:val="center"/>
          </w:tcPr>
          <w:p>
            <w:pPr>
              <w:widowControl/>
              <w:jc w:val="center"/>
              <w:rPr>
                <w:rFonts w:ascii="黑体" w:hAnsi="黑体" w:eastAsia="黑体" w:cs="宋体"/>
                <w:b/>
                <w:color w:val="000000"/>
                <w:kern w:val="0"/>
                <w:szCs w:val="21"/>
              </w:rPr>
            </w:pPr>
          </w:p>
        </w:tc>
        <w:tc>
          <w:tcPr>
            <w:tcW w:w="4253" w:type="dxa"/>
            <w:vMerge w:val="continue"/>
            <w:vAlign w:val="center"/>
          </w:tcPr>
          <w:p>
            <w:pPr>
              <w:widowControl/>
              <w:jc w:val="center"/>
              <w:rPr>
                <w:rFonts w:ascii="黑体" w:hAnsi="黑体" w:eastAsia="黑体" w:cs="宋体"/>
                <w:b/>
                <w:color w:val="000000"/>
                <w:kern w:val="0"/>
                <w:szCs w:val="21"/>
              </w:rPr>
            </w:pP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合 计</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一般公共预算拨款安排</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政府性基金预算拨款安排</w:t>
            </w:r>
          </w:p>
        </w:tc>
        <w:tc>
          <w:tcPr>
            <w:tcW w:w="127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360"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其他来源收入安排</w:t>
            </w:r>
          </w:p>
        </w:tc>
      </w:tr>
      <w:tr>
        <w:trPr>
          <w:gridBefore w:val="1"/>
          <w:wBefore w:w="93" w:type="dxa"/>
          <w:cantSplit/>
          <w:trHeight w:val="312" w:hRule="atLeast"/>
          <w:tblHeader/>
          <w:jc w:val="center"/>
        </w:trPr>
        <w:tc>
          <w:tcPr>
            <w:tcW w:w="1436"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4253"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1418" w:type="dxa"/>
            <w:vMerge w:val="continue"/>
            <w:vAlign w:val="center"/>
          </w:tcPr>
          <w:p>
            <w:pPr>
              <w:widowControl/>
              <w:jc w:val="center"/>
              <w:rPr>
                <w:rFonts w:ascii="宋体" w:hAnsi="宋体" w:cs="宋体"/>
                <w:color w:val="000000"/>
                <w:kern w:val="0"/>
                <w:sz w:val="22"/>
              </w:rPr>
            </w:pPr>
          </w:p>
        </w:tc>
        <w:tc>
          <w:tcPr>
            <w:tcW w:w="1417" w:type="dxa"/>
            <w:gridSpan w:val="2"/>
            <w:vMerge w:val="continue"/>
            <w:vAlign w:val="center"/>
          </w:tcPr>
          <w:p>
            <w:pPr>
              <w:widowControl/>
              <w:jc w:val="center"/>
              <w:rPr>
                <w:rFonts w:ascii="宋体" w:hAnsi="宋体" w:cs="宋体"/>
                <w:color w:val="000000"/>
                <w:kern w:val="0"/>
                <w:sz w:val="22"/>
              </w:rPr>
            </w:pPr>
          </w:p>
        </w:tc>
        <w:tc>
          <w:tcPr>
            <w:tcW w:w="1276" w:type="dxa"/>
            <w:vMerge w:val="continue"/>
            <w:vAlign w:val="center"/>
          </w:tcPr>
          <w:p>
            <w:pPr>
              <w:widowControl/>
              <w:jc w:val="center"/>
              <w:rPr>
                <w:rFonts w:ascii="宋体" w:hAnsi="宋体" w:cs="宋体"/>
                <w:color w:val="000000"/>
                <w:kern w:val="0"/>
                <w:sz w:val="22"/>
              </w:rPr>
            </w:pPr>
          </w:p>
        </w:tc>
        <w:tc>
          <w:tcPr>
            <w:tcW w:w="1360" w:type="dxa"/>
            <w:gridSpan w:val="2"/>
            <w:vMerge w:val="continue"/>
            <w:vAlign w:val="center"/>
          </w:tcPr>
          <w:p>
            <w:pPr>
              <w:widowControl/>
              <w:jc w:val="center"/>
              <w:rPr>
                <w:rFonts w:ascii="宋体" w:hAnsi="宋体" w:cs="宋体"/>
                <w:color w:val="000000"/>
                <w:kern w:val="0"/>
                <w:sz w:val="22"/>
              </w:rPr>
            </w:pPr>
          </w:p>
        </w:tc>
      </w:tr>
      <w:tr>
        <w:trPr>
          <w:gridBefore w:val="1"/>
          <w:wBefore w:w="93" w:type="dxa"/>
          <w:cantSplit/>
          <w:trHeight w:val="312" w:hRule="atLeast"/>
          <w:tblHeader/>
          <w:jc w:val="center"/>
        </w:trPr>
        <w:tc>
          <w:tcPr>
            <w:tcW w:w="1436"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left"/>
              <w:rPr>
                <w:rFonts w:ascii="宋体" w:hAnsi="宋体" w:cs="宋体"/>
                <w:color w:val="000000"/>
                <w:kern w:val="0"/>
                <w:szCs w:val="21"/>
              </w:rPr>
            </w:pPr>
          </w:p>
        </w:tc>
        <w:tc>
          <w:tcPr>
            <w:tcW w:w="4253"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1360" w:type="dxa"/>
            <w:gridSpan w:val="2"/>
            <w:vMerge w:val="continue"/>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人员经费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275.81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275.81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一、工资福利支出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242.37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242.37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1、基本工资</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80.74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80.74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2、津贴补贴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82.71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82.71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1）地区附加津贴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79.44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79.44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工作津贴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31.78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31.78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生活补贴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47.66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47.66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增发津补贴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2）（特殊）岗位津贴（补贴）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3）规范津补贴后仍继续保留的补贴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回族补贴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职工劳模荣誉津贴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4）上述项目之外的津贴补贴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3.27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3.27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通讯费补贴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2.62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2.62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女职工卫生费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0.65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0.65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3、奖金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6.73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6.73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4、社会保障缴费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72.19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72.19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2080505</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30108</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1）基本养老保险费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33.38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33.38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2080506</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2）职业年金缴费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13.35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13.35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2101101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3）基本医疗保险费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25.04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25.04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4）事业单位失业保险</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5）事业单位工伤保险</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6）职工生育保险费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0.42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0.42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5、绩效工资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1）基础性绩效工资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2）奖励性绩效工资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3）事业单位上年度12月份基本工资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6、其他工资福利支出</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1）人事代理人员工资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2）劳务派遣人员工资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3）其他编外人员工资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4）病假两个月以上期间的人员工资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5）教师超工作量津贴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6）各种加班工资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7）预留人员经费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二、对个人和家庭的补助</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33.44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33.44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1、离休费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30302</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2、退休费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3、教育系统养老金补贴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30304</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4、抚恤金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30305</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5、生活补助</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6、医疗费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7、助学金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8、奖励金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0.06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0.06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1）独生子女父母奖励</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0.06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0.06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2）其他奖励金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2210201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9、住房公积金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20.03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10、其他对个人和家庭的补助支出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13.35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13.35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1）在职人员取暖补贴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13.35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13.35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2）离退休人员取暖补贴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3）其他</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30" w:type="default"/>
          <w:pgSz w:w="16838" w:h="11906" w:orient="landscape"/>
          <w:pgMar w:top="1800" w:right="1440" w:bottom="1800" w:left="144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正常公用经费预算</w:t>
      </w:r>
    </w:p>
    <w:tbl>
      <w:tblPr>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
        <w:gridCol w:w="1436"/>
        <w:gridCol w:w="1417"/>
        <w:gridCol w:w="4253"/>
        <w:gridCol w:w="1417"/>
        <w:gridCol w:w="1418"/>
        <w:gridCol w:w="489"/>
        <w:gridCol w:w="928"/>
        <w:gridCol w:w="1276"/>
        <w:gridCol w:w="1180"/>
        <w:gridCol w:w="180"/>
      </w:tblGrid>
      <w:tr>
        <w:trPr>
          <w:gridAfter w:val="1"/>
          <w:wAfter w:w="180" w:type="dxa"/>
          <w:cantSplit/>
          <w:trHeight w:val="285" w:hRule="atLeast"/>
          <w:tblHeader/>
          <w:jc w:val="center"/>
        </w:trPr>
        <w:tc>
          <w:tcPr>
            <w:tcW w:w="10523" w:type="dxa"/>
            <w:gridSpan w:val="7"/>
            <w:tcBorders>
              <w:top w:val="nil"/>
              <w:left w:val="nil"/>
              <w:bottom w:val="nil"/>
              <w:right w:val="nil"/>
            </w:tcBorders>
            <w:shd w:val="clear" w:color="auto" w:fill="auto"/>
            <w:vAlign w:val="center"/>
          </w:tcPr>
          <w:p>
            <w:pPr>
              <w:widowControl/>
              <w:jc w:val="left"/>
              <w:rPr>
                <w:rFonts w:ascii="黑体" w:eastAsia="黑体"/>
                <w:b/>
              </w:rPr>
            </w:pPr>
            <w:r>
              <w:rPr>
                <w:rFonts w:ascii="宋体" w:hAnsi="宋体"/>
                <w:sz w:val="28"/>
              </w:rPr>
              <w:t>212003唐山市统计局（参公2户）</w:t>
            </w:r>
          </w:p>
        </w:tc>
        <w:tc>
          <w:tcPr>
            <w:tcW w:w="3384" w:type="dxa"/>
            <w:gridSpan w:val="3"/>
            <w:tcBorders>
              <w:top w:val="nil"/>
              <w:left w:val="nil"/>
              <w:bottom w:val="nil"/>
              <w:right w:val="nil"/>
            </w:tcBorders>
            <w:shd w:val="clear" w:color="000000" w:fill="FFFFFF"/>
            <w:vAlign w:val="center"/>
          </w:tcPr>
          <w:p>
            <w:pPr>
              <w:widowControl/>
              <w:jc w:val="right"/>
              <w:rPr>
                <w:rFonts w:ascii="黑体" w:eastAsia="黑体"/>
                <w:b/>
              </w:rPr>
            </w:pPr>
            <w:r>
              <w:rPr>
                <w:rFonts w:ascii="宋体" w:hAnsi="宋体"/>
                <w:sz w:val="24"/>
              </w:rPr>
              <w:t>单位：万元</w:t>
            </w:r>
          </w:p>
        </w:tc>
      </w:tr>
      <w:tr>
        <w:trPr>
          <w:gridBefore w:val="1"/>
          <w:wBefore w:w="93" w:type="dxa"/>
          <w:cantSplit/>
          <w:trHeight w:val="256" w:hRule="atLeast"/>
          <w:tblHeader/>
          <w:jc w:val="center"/>
        </w:trPr>
        <w:tc>
          <w:tcPr>
            <w:tcW w:w="1436"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功能分类科目编码</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经济分类科目编码</w:t>
            </w:r>
          </w:p>
        </w:tc>
        <w:tc>
          <w:tcPr>
            <w:tcW w:w="4253"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预算支出项目</w:t>
            </w:r>
          </w:p>
        </w:tc>
        <w:tc>
          <w:tcPr>
            <w:tcW w:w="6888" w:type="dxa"/>
            <w:gridSpan w:val="7"/>
            <w:vAlign w:val="center"/>
          </w:tcPr>
          <w:p>
            <w:pPr>
              <w:widowControl/>
              <w:jc w:val="center"/>
              <w:rPr>
                <w:rFonts w:ascii="黑体" w:hAnsi="黑体" w:eastAsia="黑体" w:cs="宋体"/>
                <w:b/>
                <w:color w:val="000000"/>
                <w:kern w:val="0"/>
                <w:szCs w:val="21"/>
              </w:rPr>
            </w:pPr>
            <w:r>
              <w:rPr>
                <w:rFonts w:hint="eastAsia" w:ascii="黑体" w:eastAsia="黑体"/>
                <w:b/>
              </w:rPr>
              <w:t>经 费 来 源</w:t>
            </w:r>
          </w:p>
        </w:tc>
      </w:tr>
      <w:tr>
        <w:trPr>
          <w:gridBefore w:val="1"/>
          <w:wBefore w:w="93" w:type="dxa"/>
          <w:cantSplit/>
          <w:trHeight w:val="312" w:hRule="atLeast"/>
          <w:tblHeader/>
          <w:jc w:val="center"/>
        </w:trPr>
        <w:tc>
          <w:tcPr>
            <w:tcW w:w="1436" w:type="dxa"/>
            <w:vMerge w:val="continue"/>
            <w:vAlign w:val="center"/>
          </w:tcPr>
          <w:p>
            <w:pPr>
              <w:widowControl/>
              <w:jc w:val="center"/>
              <w:rPr>
                <w:rFonts w:ascii="黑体" w:hAnsi="黑体" w:eastAsia="黑体" w:cs="宋体"/>
                <w:b/>
                <w:color w:val="000000"/>
                <w:kern w:val="0"/>
                <w:szCs w:val="21"/>
              </w:rPr>
            </w:pPr>
          </w:p>
        </w:tc>
        <w:tc>
          <w:tcPr>
            <w:tcW w:w="1417" w:type="dxa"/>
            <w:vMerge w:val="continue"/>
            <w:vAlign w:val="center"/>
          </w:tcPr>
          <w:p>
            <w:pPr>
              <w:widowControl/>
              <w:jc w:val="center"/>
              <w:rPr>
                <w:rFonts w:ascii="黑体" w:hAnsi="黑体" w:eastAsia="黑体" w:cs="宋体"/>
                <w:b/>
                <w:color w:val="000000"/>
                <w:kern w:val="0"/>
                <w:szCs w:val="21"/>
              </w:rPr>
            </w:pPr>
          </w:p>
        </w:tc>
        <w:tc>
          <w:tcPr>
            <w:tcW w:w="4253" w:type="dxa"/>
            <w:vMerge w:val="continue"/>
            <w:vAlign w:val="center"/>
          </w:tcPr>
          <w:p>
            <w:pPr>
              <w:widowControl/>
              <w:jc w:val="center"/>
              <w:rPr>
                <w:rFonts w:ascii="黑体" w:hAnsi="黑体" w:eastAsia="黑体" w:cs="宋体"/>
                <w:b/>
                <w:color w:val="000000"/>
                <w:kern w:val="0"/>
                <w:szCs w:val="21"/>
              </w:rPr>
            </w:pP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合 计</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一般公共预算拨款安排</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政府性基金预算拨款安排</w:t>
            </w:r>
          </w:p>
        </w:tc>
        <w:tc>
          <w:tcPr>
            <w:tcW w:w="127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360"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其他来源收入安排</w:t>
            </w:r>
          </w:p>
        </w:tc>
      </w:tr>
      <w:tr>
        <w:trPr>
          <w:gridBefore w:val="1"/>
          <w:wBefore w:w="93" w:type="dxa"/>
          <w:cantSplit/>
          <w:trHeight w:val="312" w:hRule="atLeast"/>
          <w:tblHeader/>
          <w:jc w:val="center"/>
        </w:trPr>
        <w:tc>
          <w:tcPr>
            <w:tcW w:w="1436"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4253"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1418" w:type="dxa"/>
            <w:vMerge w:val="continue"/>
            <w:vAlign w:val="center"/>
          </w:tcPr>
          <w:p>
            <w:pPr>
              <w:widowControl/>
              <w:jc w:val="center"/>
              <w:rPr>
                <w:rFonts w:ascii="宋体" w:hAnsi="宋体" w:cs="宋体"/>
                <w:color w:val="000000"/>
                <w:kern w:val="0"/>
                <w:sz w:val="22"/>
              </w:rPr>
            </w:pPr>
          </w:p>
        </w:tc>
        <w:tc>
          <w:tcPr>
            <w:tcW w:w="1417" w:type="dxa"/>
            <w:gridSpan w:val="2"/>
            <w:vMerge w:val="continue"/>
            <w:vAlign w:val="center"/>
          </w:tcPr>
          <w:p>
            <w:pPr>
              <w:widowControl/>
              <w:jc w:val="center"/>
              <w:rPr>
                <w:rFonts w:ascii="宋体" w:hAnsi="宋体" w:cs="宋体"/>
                <w:color w:val="000000"/>
                <w:kern w:val="0"/>
                <w:sz w:val="22"/>
              </w:rPr>
            </w:pPr>
          </w:p>
        </w:tc>
        <w:tc>
          <w:tcPr>
            <w:tcW w:w="1276" w:type="dxa"/>
            <w:vMerge w:val="continue"/>
            <w:vAlign w:val="center"/>
          </w:tcPr>
          <w:p>
            <w:pPr>
              <w:widowControl/>
              <w:jc w:val="center"/>
              <w:rPr>
                <w:rFonts w:ascii="宋体" w:hAnsi="宋体" w:cs="宋体"/>
                <w:color w:val="000000"/>
                <w:kern w:val="0"/>
                <w:sz w:val="22"/>
              </w:rPr>
            </w:pPr>
          </w:p>
        </w:tc>
        <w:tc>
          <w:tcPr>
            <w:tcW w:w="1360" w:type="dxa"/>
            <w:gridSpan w:val="2"/>
            <w:vMerge w:val="continue"/>
            <w:vAlign w:val="center"/>
          </w:tcPr>
          <w:p>
            <w:pPr>
              <w:widowControl/>
              <w:jc w:val="center"/>
              <w:rPr>
                <w:rFonts w:ascii="宋体" w:hAnsi="宋体" w:cs="宋体"/>
                <w:color w:val="000000"/>
                <w:kern w:val="0"/>
                <w:sz w:val="22"/>
              </w:rPr>
            </w:pPr>
          </w:p>
        </w:tc>
      </w:tr>
      <w:tr>
        <w:trPr>
          <w:gridBefore w:val="1"/>
          <w:wBefore w:w="93" w:type="dxa"/>
          <w:cantSplit/>
          <w:trHeight w:val="312" w:hRule="atLeast"/>
          <w:tblHeader/>
          <w:jc w:val="center"/>
        </w:trPr>
        <w:tc>
          <w:tcPr>
            <w:tcW w:w="1436"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left"/>
              <w:rPr>
                <w:rFonts w:ascii="宋体" w:hAnsi="宋体" w:cs="宋体"/>
                <w:color w:val="000000"/>
                <w:kern w:val="0"/>
                <w:szCs w:val="21"/>
              </w:rPr>
            </w:pPr>
          </w:p>
        </w:tc>
        <w:tc>
          <w:tcPr>
            <w:tcW w:w="4253"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1360" w:type="dxa"/>
            <w:gridSpan w:val="2"/>
            <w:vMerge w:val="continue"/>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正常公用经费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34.85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34.85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一、定额安排公用经费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28.23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28.23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1、办公费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1.79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1.79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2、邮电费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1.50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1.50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3、差旅费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5.10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5.10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4、物业管理费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1.65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1.65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5、维修（护）费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30231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6、公务用车运行维护费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3.40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3.40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30239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7、公务交通补贴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14.46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14.46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8、其他商品和服务支出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0.33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0.33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二、按规定比例提取安排公用经费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6.62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6.62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30216</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1、培训费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2.40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2.40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2、公务接待费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0.28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0.28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30228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3、工会经费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1.92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1.92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30229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4、福利费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2.02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5、其他</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1）离休人员福利费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2）退休人员福利费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3）离休干部公用经费、特需费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4）退休干部公用经费、特需费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三、非定额安排公用经费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30205</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1、水费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30206</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2、电费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3、取暖费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31" w:type="default"/>
          <w:pgSz w:w="16838" w:h="11906" w:orient="landscape"/>
          <w:pgMar w:top="1800" w:right="1440" w:bottom="1800" w:left="1440" w:header="851" w:footer="992" w:gutter="0"/>
          <w:cols w:space="720" w:num="1"/>
          <w:docGrid w:type="lines" w:linePitch="312"/>
        </w:sectPr>
      </w:pPr>
    </w:p>
    <w:p>
      <w:pPr>
        <w:jc w:val="center"/>
        <w:rPr>
          <w:rFonts w:ascii="黑体" w:hAnsi="黑体" w:eastAsia="黑体"/>
          <w:b/>
          <w:sz w:val="32"/>
          <w:szCs w:val="32"/>
        </w:rPr>
      </w:pPr>
      <w:r>
        <w:rPr>
          <w:rFonts w:hint="eastAsia" w:ascii="黑体" w:hAnsi="黑体" w:eastAsia="黑体"/>
          <w:b/>
          <w:sz w:val="32"/>
          <w:szCs w:val="32"/>
        </w:rPr>
        <w:t>项目支出预算</w:t>
      </w:r>
    </w:p>
    <w:tbl>
      <w:tblPr>
        <w:tblW w:w="14192" w:type="dxa"/>
        <w:jc w:val="center"/>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
        <w:gridCol w:w="2802"/>
        <w:gridCol w:w="1416"/>
        <w:gridCol w:w="1420"/>
        <w:gridCol w:w="1417"/>
        <w:gridCol w:w="1701"/>
        <w:gridCol w:w="1145"/>
        <w:gridCol w:w="272"/>
        <w:gridCol w:w="1415"/>
        <w:gridCol w:w="1276"/>
        <w:gridCol w:w="1088"/>
        <w:gridCol w:w="222"/>
      </w:tblGrid>
      <w:tr>
        <w:trPr>
          <w:gridAfter w:val="1"/>
          <w:wAfter w:w="222" w:type="dxa"/>
          <w:cantSplit/>
          <w:trHeight w:val="270" w:hRule="atLeast"/>
          <w:tblHeader/>
          <w:jc w:val="center"/>
        </w:trPr>
        <w:tc>
          <w:tcPr>
            <w:tcW w:w="9919" w:type="dxa"/>
            <w:gridSpan w:val="7"/>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212003唐山市统计局（参公2户）</w:t>
            </w:r>
            <w:r>
              <w:rPr>
                <w:rFonts w:hint="eastAsia" w:ascii="宋体" w:hAnsi="宋体" w:cs="宋体"/>
                <w:color w:val="000000"/>
                <w:kern w:val="0"/>
                <w:sz w:val="22"/>
              </w:rPr>
              <w:t>　</w:t>
            </w:r>
          </w:p>
        </w:tc>
        <w:tc>
          <w:tcPr>
            <w:tcW w:w="4051" w:type="dxa"/>
            <w:gridSpan w:val="4"/>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270" w:hRule="atLeast"/>
          <w:tblHeader/>
          <w:jc w:val="center"/>
        </w:trPr>
        <w:tc>
          <w:tcPr>
            <w:tcW w:w="2802"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项目名称</w:t>
            </w:r>
          </w:p>
        </w:tc>
        <w:tc>
          <w:tcPr>
            <w:tcW w:w="1416"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功能分类科目编码</w:t>
            </w:r>
          </w:p>
        </w:tc>
        <w:tc>
          <w:tcPr>
            <w:tcW w:w="2837" w:type="dxa"/>
            <w:gridSpan w:val="2"/>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项目类型</w:t>
            </w:r>
          </w:p>
        </w:tc>
        <w:tc>
          <w:tcPr>
            <w:tcW w:w="7119" w:type="dxa"/>
            <w:gridSpan w:val="7"/>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jc w:val="center"/>
              <w:rPr>
                <w:rFonts w:ascii="黑体" w:hAnsi="黑体" w:eastAsia="黑体" w:cs="宋体"/>
                <w:b/>
                <w:color w:val="000000"/>
                <w:kern w:val="0"/>
                <w:szCs w:val="21"/>
              </w:rPr>
            </w:pPr>
          </w:p>
        </w:tc>
        <w:tc>
          <w:tcPr>
            <w:tcW w:w="1416" w:type="dxa"/>
            <w:vMerge w:val="continue"/>
            <w:vAlign w:val="center"/>
          </w:tcPr>
          <w:p>
            <w:pPr>
              <w:widowControl/>
              <w:jc w:val="center"/>
              <w:rPr>
                <w:rFonts w:ascii="黑体" w:hAnsi="黑体" w:eastAsia="黑体" w:cs="宋体"/>
                <w:b/>
                <w:bCs/>
                <w:color w:val="000000"/>
                <w:kern w:val="0"/>
                <w:szCs w:val="21"/>
              </w:rPr>
            </w:pPr>
          </w:p>
        </w:tc>
        <w:tc>
          <w:tcPr>
            <w:tcW w:w="1420"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大类</w:t>
            </w:r>
          </w:p>
        </w:tc>
        <w:tc>
          <w:tcPr>
            <w:tcW w:w="1417"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小类</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5"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27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310"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jc w:val="center"/>
              <w:rPr>
                <w:rFonts w:ascii="黑体" w:hAnsi="黑体" w:eastAsia="黑体" w:cs="宋体"/>
                <w:b/>
                <w:color w:val="000000"/>
                <w:kern w:val="0"/>
                <w:szCs w:val="21"/>
              </w:rPr>
            </w:pPr>
          </w:p>
        </w:tc>
        <w:tc>
          <w:tcPr>
            <w:tcW w:w="1416" w:type="dxa"/>
            <w:vMerge w:val="continue"/>
            <w:vAlign w:val="center"/>
          </w:tcPr>
          <w:p>
            <w:pPr>
              <w:widowControl/>
              <w:jc w:val="center"/>
              <w:rPr>
                <w:rFonts w:ascii="黑体" w:hAnsi="黑体" w:eastAsia="黑体" w:cs="宋体"/>
                <w:b/>
                <w:bCs/>
                <w:color w:val="000000"/>
                <w:kern w:val="0"/>
                <w:szCs w:val="21"/>
              </w:rPr>
            </w:pPr>
          </w:p>
        </w:tc>
        <w:tc>
          <w:tcPr>
            <w:tcW w:w="1420" w:type="dxa"/>
            <w:vMerge w:val="continue"/>
            <w:vAlign w:val="center"/>
          </w:tcPr>
          <w:p>
            <w:pPr>
              <w:widowControl/>
              <w:jc w:val="center"/>
              <w:rPr>
                <w:rFonts w:ascii="黑体" w:hAnsi="黑体" w:eastAsia="黑体" w:cs="宋体"/>
                <w:b/>
                <w:bCs/>
                <w:color w:val="000000"/>
                <w:kern w:val="0"/>
                <w:szCs w:val="21"/>
              </w:rPr>
            </w:pPr>
          </w:p>
        </w:tc>
        <w:tc>
          <w:tcPr>
            <w:tcW w:w="1417" w:type="dxa"/>
            <w:vMerge w:val="continue"/>
            <w:vAlign w:val="center"/>
          </w:tcPr>
          <w:p>
            <w:pPr>
              <w:widowControl/>
              <w:jc w:val="center"/>
              <w:rPr>
                <w:rFonts w:ascii="黑体" w:hAnsi="黑体" w:eastAsia="黑体" w:cs="宋体"/>
                <w:b/>
                <w:bCs/>
                <w:color w:val="000000"/>
                <w:kern w:val="0"/>
                <w:szCs w:val="21"/>
              </w:rPr>
            </w:pPr>
          </w:p>
        </w:tc>
        <w:tc>
          <w:tcPr>
            <w:tcW w:w="1701" w:type="dxa"/>
            <w:vMerge w:val="continue"/>
            <w:vAlign w:val="center"/>
          </w:tcPr>
          <w:p>
            <w:pPr>
              <w:widowControl/>
              <w:jc w:val="center"/>
              <w:rPr>
                <w:rFonts w:ascii="黑体" w:hAnsi="黑体" w:eastAsia="黑体" w:cs="宋体"/>
                <w:b/>
                <w:bCs/>
                <w:color w:val="000000"/>
                <w:kern w:val="0"/>
                <w:szCs w:val="21"/>
              </w:rPr>
            </w:pPr>
          </w:p>
        </w:tc>
        <w:tc>
          <w:tcPr>
            <w:tcW w:w="1417" w:type="dxa"/>
            <w:gridSpan w:val="2"/>
            <w:vMerge w:val="continue"/>
            <w:vAlign w:val="center"/>
          </w:tcPr>
          <w:p>
            <w:pPr>
              <w:widowControl/>
              <w:jc w:val="center"/>
              <w:rPr>
                <w:rFonts w:ascii="黑体" w:hAnsi="黑体" w:eastAsia="黑体" w:cs="宋体"/>
                <w:b/>
                <w:bCs/>
                <w:color w:val="000000"/>
                <w:kern w:val="0"/>
                <w:szCs w:val="21"/>
              </w:rPr>
            </w:pPr>
          </w:p>
        </w:tc>
        <w:tc>
          <w:tcPr>
            <w:tcW w:w="1415" w:type="dxa"/>
            <w:vMerge w:val="continue"/>
            <w:vAlign w:val="center"/>
          </w:tcPr>
          <w:p>
            <w:pPr>
              <w:widowControl/>
              <w:jc w:val="center"/>
              <w:rPr>
                <w:rFonts w:ascii="黑体" w:hAnsi="黑体" w:eastAsia="黑体" w:cs="宋体"/>
                <w:b/>
                <w:bCs/>
                <w:color w:val="000000"/>
                <w:kern w:val="0"/>
                <w:szCs w:val="21"/>
              </w:rPr>
            </w:pPr>
          </w:p>
        </w:tc>
        <w:tc>
          <w:tcPr>
            <w:tcW w:w="1276" w:type="dxa"/>
            <w:vMerge w:val="continue"/>
            <w:vAlign w:val="center"/>
          </w:tcPr>
          <w:p>
            <w:pPr>
              <w:widowControl/>
              <w:jc w:val="center"/>
              <w:rPr>
                <w:rFonts w:ascii="黑体" w:hAnsi="黑体" w:eastAsia="黑体" w:cs="宋体"/>
                <w:b/>
                <w:bCs/>
                <w:color w:val="000000"/>
                <w:kern w:val="0"/>
                <w:szCs w:val="21"/>
              </w:rPr>
            </w:pPr>
          </w:p>
        </w:tc>
        <w:tc>
          <w:tcPr>
            <w:tcW w:w="1310" w:type="dxa"/>
            <w:gridSpan w:val="2"/>
            <w:vMerge w:val="continue"/>
            <w:vAlign w:val="center"/>
          </w:tcPr>
          <w:p>
            <w:pPr>
              <w:widowControl/>
              <w:jc w:val="center"/>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tblHeader/>
          <w:jc w:val="center"/>
        </w:trPr>
        <w:tc>
          <w:tcPr>
            <w:tcW w:w="2802" w:type="dxa"/>
            <w:vMerge w:val="continue"/>
            <w:vAlign w:val="center"/>
          </w:tcPr>
          <w:p>
            <w:pPr>
              <w:widowControl/>
              <w:jc w:val="left"/>
              <w:rPr>
                <w:rFonts w:ascii="宋体" w:hAnsi="宋体" w:cs="宋体"/>
                <w:color w:val="000000"/>
                <w:kern w:val="0"/>
                <w:szCs w:val="21"/>
              </w:rPr>
            </w:pPr>
          </w:p>
        </w:tc>
        <w:tc>
          <w:tcPr>
            <w:tcW w:w="1416" w:type="dxa"/>
            <w:vMerge w:val="continue"/>
            <w:vAlign w:val="center"/>
          </w:tcPr>
          <w:p>
            <w:pPr>
              <w:widowControl/>
              <w:jc w:val="left"/>
              <w:rPr>
                <w:rFonts w:ascii="宋体" w:hAnsi="宋体" w:cs="宋体"/>
                <w:color w:val="000000"/>
                <w:kern w:val="0"/>
                <w:szCs w:val="21"/>
              </w:rPr>
            </w:pPr>
          </w:p>
        </w:tc>
        <w:tc>
          <w:tcPr>
            <w:tcW w:w="1420"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lef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415" w:type="dxa"/>
            <w:vMerge w:val="continue"/>
            <w:vAlign w:val="center"/>
          </w:tcPr>
          <w:p>
            <w:pPr>
              <w:widowControl/>
              <w:jc w:val="right"/>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1310" w:type="dxa"/>
            <w:gridSpan w:val="2"/>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专项项目经费</w:t>
            </w:r>
          </w:p>
        </w:tc>
        <w:tc>
          <w:tcPr>
            <w:tcW w:w="1416" w:type="dxa"/>
            <w:vAlign w:val="center"/>
          </w:tcPr>
          <w:p>
            <w:pPr>
              <w:widowControl/>
              <w:jc w:val="left"/>
              <w:rPr>
                <w:rFonts w:ascii="宋体" w:hAnsi="宋体" w:cs="宋体"/>
                <w:color w:val="000000"/>
                <w:kern w:val="0"/>
                <w:szCs w:val="21"/>
              </w:rPr>
            </w:pPr>
          </w:p>
        </w:tc>
        <w:tc>
          <w:tcPr>
            <w:tcW w:w="1420"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155.00</w:t>
            </w:r>
          </w:p>
        </w:tc>
        <w:tc>
          <w:tcPr>
            <w:tcW w:w="1415" w:type="dxa"/>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10"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141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2010507</w:t>
            </w:r>
          </w:p>
        </w:tc>
        <w:tc>
          <w:tcPr>
            <w:tcW w:w="1420" w:type="dxa"/>
            <w:vAlign w:val="center"/>
          </w:tcPr>
          <w:p>
            <w:pPr>
              <w:widowControl/>
              <w:jc w:val="left"/>
              <w:rPr>
                <w:rFonts w:ascii="宋体" w:hAnsi="宋体" w:cs="宋体"/>
                <w:color w:val="000000"/>
                <w:kern w:val="0"/>
                <w:szCs w:val="21"/>
              </w:rPr>
            </w:pPr>
            <w:r>
              <w:rPr>
                <w:rFonts w:ascii="宋体" w:hAnsi="宋体" w:cs="宋体"/>
                <w:color w:val="000000"/>
                <w:kern w:val="0"/>
                <w:szCs w:val="21"/>
              </w:rPr>
              <w:t>05-大型专项业务</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0501 专项事务</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88.09</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88.09</w:t>
            </w:r>
          </w:p>
        </w:tc>
        <w:tc>
          <w:tcPr>
            <w:tcW w:w="1415" w:type="dxa"/>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10"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141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2010507</w:t>
            </w:r>
          </w:p>
        </w:tc>
        <w:tc>
          <w:tcPr>
            <w:tcW w:w="1420" w:type="dxa"/>
            <w:vAlign w:val="center"/>
          </w:tcPr>
          <w:p>
            <w:pPr>
              <w:widowControl/>
              <w:jc w:val="left"/>
              <w:rPr>
                <w:rFonts w:ascii="宋体" w:hAnsi="宋体" w:cs="宋体"/>
                <w:color w:val="000000"/>
                <w:kern w:val="0"/>
                <w:szCs w:val="21"/>
              </w:rPr>
            </w:pPr>
            <w:r>
              <w:rPr>
                <w:rFonts w:ascii="宋体" w:hAnsi="宋体" w:cs="宋体"/>
                <w:color w:val="000000"/>
                <w:kern w:val="0"/>
                <w:szCs w:val="21"/>
              </w:rPr>
              <w:t>05-大型专项业务</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0502 大宗印刷</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47.91</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47.91</w:t>
            </w:r>
          </w:p>
        </w:tc>
        <w:tc>
          <w:tcPr>
            <w:tcW w:w="1415" w:type="dxa"/>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10"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18" w:type="dxa"/>
          <w:cantSplit/>
          <w:trHeight w:val="312" w:hRule="atLeast"/>
          <w:jc w:val="center"/>
        </w:trPr>
        <w:tc>
          <w:tcPr>
            <w:tcW w:w="2802"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第三次全国农业普查</w:t>
            </w:r>
          </w:p>
        </w:tc>
        <w:tc>
          <w:tcPr>
            <w:tcW w:w="1416" w:type="dxa"/>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1420" w:type="dxa"/>
            <w:vAlign w:val="center"/>
          </w:tcPr>
          <w:p>
            <w:pPr>
              <w:widowControl/>
              <w:jc w:val="left"/>
              <w:rPr>
                <w:rFonts w:ascii="宋体" w:hAnsi="宋体" w:cs="宋体"/>
                <w:color w:val="000000"/>
                <w:kern w:val="0"/>
                <w:szCs w:val="21"/>
              </w:rPr>
            </w:pPr>
            <w:r>
              <w:rPr>
                <w:rFonts w:ascii="宋体" w:hAnsi="宋体" w:cs="宋体"/>
                <w:color w:val="000000"/>
                <w:kern w:val="0"/>
                <w:szCs w:val="21"/>
              </w:rPr>
              <w:t>05-大型专项业务</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0501 专项事务</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19.00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19.00</w:t>
            </w:r>
          </w:p>
        </w:tc>
        <w:tc>
          <w:tcPr>
            <w:tcW w:w="1415" w:type="dxa"/>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10"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32" w:type="default"/>
          <w:pgSz w:w="16838" w:h="11906" w:orient="landscape"/>
          <w:pgMar w:top="1800" w:right="1440" w:bottom="1800" w:left="1440" w:header="851" w:footer="992" w:gutter="0"/>
          <w:cols w:space="720" w:num="1"/>
          <w:docGrid w:type="lines" w:linePitch="312"/>
        </w:sectPr>
      </w:pPr>
    </w:p>
    <w:p>
      <w:pPr>
        <w:jc w:val="center"/>
        <w:rPr>
          <w:rFonts w:ascii="黑体" w:hAnsi="黑体" w:eastAsia="黑体"/>
          <w:b/>
          <w:sz w:val="32"/>
          <w:szCs w:val="32"/>
        </w:rPr>
      </w:pPr>
      <w:r>
        <w:rPr>
          <w:rFonts w:hint="eastAsia" w:ascii="黑体" w:hAnsi="黑体" w:eastAsia="黑体"/>
          <w:b/>
          <w:sz w:val="32"/>
          <w:szCs w:val="32"/>
        </w:rPr>
        <w:t>“三公”及会议培训经费预算</w:t>
      </w:r>
    </w:p>
    <w:tbl>
      <w:tblPr>
        <w:tblW w:w="13113" w:type="dxa"/>
        <w:jc w:val="center"/>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39"/>
        <w:gridCol w:w="4384"/>
        <w:gridCol w:w="809"/>
        <w:gridCol w:w="1034"/>
        <w:gridCol w:w="1701"/>
        <w:gridCol w:w="1701"/>
        <w:gridCol w:w="1559"/>
        <w:gridCol w:w="888"/>
        <w:gridCol w:w="598"/>
      </w:tblGrid>
      <w:tr>
        <w:trPr>
          <w:gridBefore w:val="1"/>
          <w:gridAfter w:val="1"/>
          <w:wBefore w:w="439" w:type="dxa"/>
          <w:wAfter w:w="598" w:type="dxa"/>
          <w:cantSplit/>
          <w:trHeight w:val="270" w:hRule="atLeast"/>
          <w:tblHeader/>
          <w:jc w:val="center"/>
        </w:trPr>
        <w:tc>
          <w:tcPr>
            <w:tcW w:w="5193" w:type="dxa"/>
            <w:gridSpan w:val="2"/>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212003唐山市统计局（参公2户）</w:t>
            </w:r>
          </w:p>
        </w:tc>
        <w:tc>
          <w:tcPr>
            <w:tcW w:w="6883" w:type="dxa"/>
            <w:gridSpan w:val="5"/>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1" w:hRule="atLeast"/>
          <w:tblHeader/>
          <w:jc w:val="center"/>
        </w:trPr>
        <w:tc>
          <w:tcPr>
            <w:tcW w:w="4823"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290" w:type="dxa"/>
            <w:gridSpan w:val="7"/>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4823" w:type="dxa"/>
            <w:gridSpan w:val="2"/>
            <w:vMerge w:val="continue"/>
            <w:vAlign w:val="center"/>
          </w:tcPr>
          <w:p>
            <w:pPr>
              <w:widowControl/>
              <w:jc w:val="center"/>
              <w:rPr>
                <w:rFonts w:ascii="黑体" w:hAnsi="黑体" w:eastAsia="黑体" w:cs="宋体"/>
                <w:b/>
                <w:color w:val="000000"/>
                <w:kern w:val="0"/>
                <w:szCs w:val="21"/>
              </w:rPr>
            </w:pPr>
          </w:p>
        </w:tc>
        <w:tc>
          <w:tcPr>
            <w:tcW w:w="1843"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559"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486"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4823" w:type="dxa"/>
            <w:gridSpan w:val="2"/>
            <w:vMerge w:val="continue"/>
            <w:vAlign w:val="center"/>
          </w:tcPr>
          <w:p>
            <w:pPr>
              <w:widowControl/>
              <w:jc w:val="center"/>
              <w:rPr>
                <w:rFonts w:ascii="宋体" w:hAnsi="宋体" w:cs="宋体"/>
                <w:b/>
                <w:color w:val="000000"/>
                <w:kern w:val="0"/>
                <w:sz w:val="22"/>
              </w:rPr>
            </w:pPr>
          </w:p>
        </w:tc>
        <w:tc>
          <w:tcPr>
            <w:tcW w:w="1843" w:type="dxa"/>
            <w:gridSpan w:val="2"/>
            <w:vMerge w:val="continue"/>
            <w:vAlign w:val="center"/>
          </w:tcPr>
          <w:p>
            <w:pPr>
              <w:widowControl/>
              <w:jc w:val="center"/>
              <w:rPr>
                <w:rFonts w:ascii="宋体" w:hAnsi="宋体" w:cs="宋体"/>
                <w:b/>
                <w:color w:val="000000"/>
                <w:kern w:val="0"/>
                <w:sz w:val="22"/>
              </w:rPr>
            </w:pPr>
          </w:p>
        </w:tc>
        <w:tc>
          <w:tcPr>
            <w:tcW w:w="1701" w:type="dxa"/>
            <w:vMerge w:val="continue"/>
            <w:vAlign w:val="center"/>
          </w:tcPr>
          <w:p>
            <w:pPr>
              <w:widowControl/>
              <w:jc w:val="center"/>
              <w:rPr>
                <w:rFonts w:ascii="宋体" w:hAnsi="宋体" w:cs="宋体"/>
                <w:b/>
                <w:color w:val="000000"/>
                <w:kern w:val="0"/>
                <w:sz w:val="22"/>
              </w:rPr>
            </w:pPr>
          </w:p>
        </w:tc>
        <w:tc>
          <w:tcPr>
            <w:tcW w:w="1701" w:type="dxa"/>
            <w:vMerge w:val="continue"/>
            <w:vAlign w:val="center"/>
          </w:tcPr>
          <w:p>
            <w:pPr>
              <w:widowControl/>
              <w:jc w:val="center"/>
              <w:rPr>
                <w:rFonts w:ascii="宋体" w:hAnsi="宋体" w:cs="宋体"/>
                <w:b/>
                <w:color w:val="000000"/>
                <w:kern w:val="0"/>
                <w:sz w:val="22"/>
              </w:rPr>
            </w:pPr>
          </w:p>
        </w:tc>
        <w:tc>
          <w:tcPr>
            <w:tcW w:w="1559" w:type="dxa"/>
            <w:vMerge w:val="continue"/>
            <w:vAlign w:val="center"/>
          </w:tcPr>
          <w:p>
            <w:pPr>
              <w:widowControl/>
              <w:jc w:val="center"/>
              <w:rPr>
                <w:rFonts w:ascii="宋体" w:hAnsi="宋体" w:cs="宋体"/>
                <w:b/>
                <w:color w:val="000000"/>
                <w:kern w:val="0"/>
                <w:sz w:val="22"/>
              </w:rPr>
            </w:pPr>
          </w:p>
        </w:tc>
        <w:tc>
          <w:tcPr>
            <w:tcW w:w="1486" w:type="dxa"/>
            <w:gridSpan w:val="2"/>
            <w:vMerge w:val="continue"/>
            <w:vAlign w:val="center"/>
          </w:tcPr>
          <w:p>
            <w:pPr>
              <w:widowControl/>
              <w:jc w:val="center"/>
              <w:rPr>
                <w:rFonts w:ascii="宋体" w:hAns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tblHeader/>
          <w:jc w:val="center"/>
        </w:trPr>
        <w:tc>
          <w:tcPr>
            <w:tcW w:w="4823" w:type="dxa"/>
            <w:gridSpan w:val="2"/>
            <w:vMerge w:val="continue"/>
            <w:vAlign w:val="center"/>
          </w:tcPr>
          <w:p>
            <w:pPr>
              <w:widowControl/>
              <w:jc w:val="left"/>
              <w:rPr>
                <w:rFonts w:ascii="宋体" w:hAnsi="宋体" w:cs="宋体"/>
                <w:color w:val="000000"/>
                <w:kern w:val="0"/>
                <w:szCs w:val="21"/>
              </w:rPr>
            </w:pPr>
          </w:p>
        </w:tc>
        <w:tc>
          <w:tcPr>
            <w:tcW w:w="1843" w:type="dxa"/>
            <w:gridSpan w:val="2"/>
            <w:vMerge w:val="continue"/>
            <w:vAlign w:val="center"/>
          </w:tcPr>
          <w:p>
            <w:pPr>
              <w:widowControl/>
              <w:jc w:val="righ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559" w:type="dxa"/>
            <w:vMerge w:val="continue"/>
            <w:vAlign w:val="center"/>
          </w:tcPr>
          <w:p>
            <w:pPr>
              <w:widowControl/>
              <w:jc w:val="right"/>
              <w:rPr>
                <w:rFonts w:ascii="宋体" w:hAnsi="宋体" w:cs="宋体"/>
                <w:color w:val="000000"/>
                <w:kern w:val="0"/>
                <w:szCs w:val="21"/>
              </w:rPr>
            </w:pPr>
          </w:p>
        </w:tc>
        <w:tc>
          <w:tcPr>
            <w:tcW w:w="1486" w:type="dxa"/>
            <w:gridSpan w:val="2"/>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一、“三公”经费小计</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7.68</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7.68</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（一）因公出国境费用</w:t>
            </w:r>
          </w:p>
        </w:tc>
        <w:tc>
          <w:tcPr>
            <w:tcW w:w="1843" w:type="dxa"/>
            <w:gridSpan w:val="2"/>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（二）公务用车购置及运维费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7.40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7.40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公务用车运行维护费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7.40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7.40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（三）公务接待费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0.28</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0.28</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二、会议费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19.68</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19.68</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三、培训费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43.30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43.30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合计</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70.66</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70.66</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33" w:type="default"/>
          <w:pgSz w:w="16838" w:h="11906" w:orient="landscape"/>
          <w:pgMar w:top="1800" w:right="1440" w:bottom="1800" w:left="1440" w:header="851" w:footer="992" w:gutter="0"/>
          <w:cols w:space="720" w:num="1"/>
          <w:docGrid w:type="lines" w:linePitch="312"/>
        </w:sectPr>
      </w:pPr>
    </w:p>
    <w:p>
      <w:pPr>
        <w:jc w:val="center"/>
        <w:rPr>
          <w:rFonts w:ascii="黑体" w:hAnsi="黑体" w:eastAsia="黑体"/>
          <w:b/>
          <w:sz w:val="32"/>
          <w:szCs w:val="32"/>
        </w:rPr>
      </w:pPr>
      <w:r>
        <w:rPr>
          <w:rFonts w:hint="eastAsia" w:ascii="黑体" w:hAnsi="黑体" w:eastAsia="黑体"/>
          <w:b/>
          <w:sz w:val="32"/>
          <w:szCs w:val="32"/>
        </w:rPr>
        <w:t>专项公用经费支出安排表</w:t>
      </w:r>
    </w:p>
    <w:tbl>
      <w:tblPr>
        <w:tblW w:w="13970" w:type="dxa"/>
        <w:jc w:val="center"/>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
        <w:gridCol w:w="1689"/>
        <w:gridCol w:w="5301"/>
        <w:gridCol w:w="1418"/>
        <w:gridCol w:w="1365"/>
        <w:gridCol w:w="52"/>
        <w:gridCol w:w="1418"/>
        <w:gridCol w:w="1417"/>
        <w:gridCol w:w="1105"/>
        <w:gridCol w:w="187"/>
      </w:tblGrid>
      <w:tr>
        <w:trPr>
          <w:gridBefore w:val="1"/>
          <w:gridAfter w:val="1"/>
          <w:wBefore w:w="18" w:type="dxa"/>
          <w:wAfter w:w="187" w:type="dxa"/>
          <w:cantSplit/>
          <w:trHeight w:val="270" w:hRule="atLeast"/>
          <w:tblHeader/>
          <w:jc w:val="center"/>
        </w:trPr>
        <w:tc>
          <w:tcPr>
            <w:tcW w:w="9773" w:type="dxa"/>
            <w:gridSpan w:val="4"/>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212003唐山市统计局（参公2户）</w:t>
            </w:r>
            <w:r>
              <w:rPr>
                <w:rFonts w:hint="eastAsia" w:ascii="宋体" w:hAnsi="宋体" w:cs="宋体"/>
                <w:color w:val="000000"/>
                <w:kern w:val="0"/>
                <w:sz w:val="22"/>
              </w:rPr>
              <w:t>　</w:t>
            </w:r>
          </w:p>
        </w:tc>
        <w:tc>
          <w:tcPr>
            <w:tcW w:w="3992" w:type="dxa"/>
            <w:gridSpan w:val="4"/>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1" w:hRule="atLeast"/>
          <w:tblHeader/>
          <w:jc w:val="center"/>
        </w:trPr>
        <w:tc>
          <w:tcPr>
            <w:tcW w:w="1707"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功能分类科目编码</w:t>
            </w:r>
          </w:p>
        </w:tc>
        <w:tc>
          <w:tcPr>
            <w:tcW w:w="53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预算支出项目</w:t>
            </w:r>
          </w:p>
        </w:tc>
        <w:tc>
          <w:tcPr>
            <w:tcW w:w="6962" w:type="dxa"/>
            <w:gridSpan w:val="7"/>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1707" w:type="dxa"/>
            <w:gridSpan w:val="2"/>
            <w:vMerge w:val="continue"/>
            <w:vAlign w:val="center"/>
          </w:tcPr>
          <w:p>
            <w:pPr>
              <w:widowControl/>
              <w:jc w:val="center"/>
              <w:rPr>
                <w:rFonts w:ascii="黑体" w:hAnsi="黑体" w:eastAsia="黑体" w:cs="宋体"/>
                <w:b/>
                <w:color w:val="000000"/>
                <w:kern w:val="0"/>
                <w:szCs w:val="21"/>
              </w:rPr>
            </w:pPr>
          </w:p>
        </w:tc>
        <w:tc>
          <w:tcPr>
            <w:tcW w:w="5301" w:type="dxa"/>
            <w:vMerge w:val="continue"/>
            <w:vAlign w:val="center"/>
          </w:tcPr>
          <w:p>
            <w:pPr>
              <w:widowControl/>
              <w:jc w:val="center"/>
              <w:rPr>
                <w:rFonts w:ascii="黑体" w:hAnsi="黑体" w:eastAsia="黑体" w:cs="宋体"/>
                <w:b/>
                <w:color w:val="000000"/>
                <w:kern w:val="0"/>
                <w:szCs w:val="21"/>
              </w:rPr>
            </w:pP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92"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1707" w:type="dxa"/>
            <w:gridSpan w:val="2"/>
            <w:vMerge w:val="continue"/>
            <w:vAlign w:val="center"/>
          </w:tcPr>
          <w:p>
            <w:pPr>
              <w:widowControl/>
              <w:jc w:val="center"/>
              <w:rPr>
                <w:rFonts w:ascii="宋体" w:hAnsi="宋体" w:cs="宋体"/>
                <w:b/>
                <w:color w:val="000000"/>
                <w:kern w:val="0"/>
                <w:sz w:val="22"/>
              </w:rPr>
            </w:pPr>
          </w:p>
        </w:tc>
        <w:tc>
          <w:tcPr>
            <w:tcW w:w="5301" w:type="dxa"/>
            <w:vMerge w:val="continue"/>
            <w:vAlign w:val="center"/>
          </w:tcPr>
          <w:p>
            <w:pPr>
              <w:widowControl/>
              <w:jc w:val="center"/>
              <w:rPr>
                <w:rFonts w:ascii="宋体" w:hAnsi="宋体" w:cs="宋体"/>
                <w:b/>
                <w:color w:val="000000"/>
                <w:kern w:val="0"/>
                <w:sz w:val="22"/>
              </w:rPr>
            </w:pPr>
          </w:p>
        </w:tc>
        <w:tc>
          <w:tcPr>
            <w:tcW w:w="1418" w:type="dxa"/>
            <w:vMerge w:val="continue"/>
            <w:vAlign w:val="center"/>
          </w:tcPr>
          <w:p>
            <w:pPr>
              <w:widowControl/>
              <w:jc w:val="center"/>
              <w:rPr>
                <w:rFonts w:ascii="宋体" w:hAnsi="宋体" w:cs="宋体"/>
                <w:b/>
                <w:color w:val="000000"/>
                <w:kern w:val="0"/>
                <w:sz w:val="22"/>
              </w:rPr>
            </w:pPr>
          </w:p>
        </w:tc>
        <w:tc>
          <w:tcPr>
            <w:tcW w:w="1417" w:type="dxa"/>
            <w:gridSpan w:val="2"/>
            <w:vMerge w:val="continue"/>
            <w:vAlign w:val="center"/>
          </w:tcPr>
          <w:p>
            <w:pPr>
              <w:widowControl/>
              <w:jc w:val="center"/>
              <w:rPr>
                <w:rFonts w:ascii="宋体" w:hAnsi="宋体" w:cs="宋体"/>
                <w:b/>
                <w:color w:val="000000"/>
                <w:kern w:val="0"/>
                <w:sz w:val="22"/>
              </w:rPr>
            </w:pPr>
          </w:p>
        </w:tc>
        <w:tc>
          <w:tcPr>
            <w:tcW w:w="1418" w:type="dxa"/>
            <w:vMerge w:val="continue"/>
            <w:vAlign w:val="center"/>
          </w:tcPr>
          <w:p>
            <w:pPr>
              <w:widowControl/>
              <w:jc w:val="center"/>
              <w:rPr>
                <w:rFonts w:ascii="宋体" w:hAnsi="宋体" w:cs="宋体"/>
                <w:b/>
                <w:color w:val="000000"/>
                <w:kern w:val="0"/>
                <w:sz w:val="22"/>
              </w:rPr>
            </w:pPr>
          </w:p>
        </w:tc>
        <w:tc>
          <w:tcPr>
            <w:tcW w:w="1417" w:type="dxa"/>
            <w:vMerge w:val="continue"/>
            <w:vAlign w:val="center"/>
          </w:tcPr>
          <w:p>
            <w:pPr>
              <w:widowControl/>
              <w:jc w:val="center"/>
              <w:rPr>
                <w:rFonts w:ascii="宋体" w:hAnsi="宋体" w:cs="宋体"/>
                <w:b/>
                <w:color w:val="000000"/>
                <w:kern w:val="0"/>
                <w:sz w:val="22"/>
              </w:rPr>
            </w:pPr>
          </w:p>
        </w:tc>
        <w:tc>
          <w:tcPr>
            <w:tcW w:w="1292" w:type="dxa"/>
            <w:gridSpan w:val="2"/>
            <w:vMerge w:val="continue"/>
            <w:vAlign w:val="center"/>
          </w:tcPr>
          <w:p>
            <w:pPr>
              <w:widowControl/>
              <w:jc w:val="center"/>
              <w:rPr>
                <w:rFonts w:ascii="宋体" w:hAns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tblHeader/>
          <w:jc w:val="center"/>
        </w:trPr>
        <w:tc>
          <w:tcPr>
            <w:tcW w:w="1707" w:type="dxa"/>
            <w:gridSpan w:val="2"/>
            <w:vMerge w:val="continue"/>
            <w:vAlign w:val="center"/>
          </w:tcPr>
          <w:p>
            <w:pPr>
              <w:widowControl/>
              <w:jc w:val="left"/>
              <w:rPr>
                <w:rFonts w:ascii="宋体" w:hAnsi="宋体" w:cs="宋体"/>
                <w:color w:val="000000"/>
                <w:kern w:val="0"/>
                <w:szCs w:val="21"/>
              </w:rPr>
            </w:pPr>
          </w:p>
        </w:tc>
        <w:tc>
          <w:tcPr>
            <w:tcW w:w="5301" w:type="dxa"/>
            <w:vMerge w:val="continue"/>
            <w:vAlign w:val="center"/>
          </w:tcPr>
          <w:p>
            <w:pPr>
              <w:widowControl/>
              <w:jc w:val="lef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292" w:type="dxa"/>
            <w:gridSpan w:val="2"/>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专项公用经费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172.93</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172.93</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新型农业经营主体统计调查培训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规模以下工业抽样调查培训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1.30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1.30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能源调查培训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劳动力调查培训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统计从业人员培训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城镇低收入居民基本生活费用价格指数调查培训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0.60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0.60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唐山市房地产网签价格统计调查培训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唐山市粮食产量抽样调查培训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2010502</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统计局机关各项印刷费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29.50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29.50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新型农业经营主体统计调查印刷费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规模以下工业抽样调查印刷费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能源调查印刷费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劳动力调查印刷费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统计从业人员培训印刷费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城镇低收入居民基本生活费用价格指数调查印刷费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1.20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1.20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粮食产量抽样调查印刷费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3.15</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3.15</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唐山市粮食产量抽样调查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能源调查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劳动力调查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城镇低收入居民基本生活费用价格指数调查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各项调查的其他相关费用</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40.00</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40.00</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2010505</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城乡一体化住户调查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51.18</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51.18</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34" w:type="default"/>
          <w:pgSz w:w="16838" w:h="11906" w:orient="landscape"/>
          <w:pgMar w:top="1800" w:right="1440" w:bottom="1800" w:left="144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人员经费计算依据情况表</w:t>
      </w:r>
    </w:p>
    <w:tbl>
      <w:tblPr>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0"/>
        <w:gridCol w:w="4961"/>
        <w:gridCol w:w="992"/>
        <w:gridCol w:w="993"/>
        <w:gridCol w:w="1619"/>
        <w:gridCol w:w="24"/>
      </w:tblGrid>
      <w:tr>
        <w:trPr>
          <w:cantSplit/>
          <w:trHeight w:val="312" w:hRule="atLeast"/>
          <w:tblHeader/>
          <w:jc w:val="center"/>
        </w:trPr>
        <w:tc>
          <w:tcPr>
            <w:tcW w:w="7816" w:type="dxa"/>
            <w:gridSpan w:val="4"/>
            <w:tcBorders>
              <w:top w:val="nil"/>
              <w:left w:val="nil"/>
              <w:right w:val="nil"/>
            </w:tcBorders>
            <w:vAlign w:val="center"/>
          </w:tcPr>
          <w:p>
            <w:pPr>
              <w:widowControl/>
              <w:jc w:val="left"/>
              <w:rPr>
                <w:rFonts w:ascii="黑体" w:eastAsia="黑体"/>
                <w:b/>
              </w:rPr>
            </w:pPr>
            <w:r>
              <w:rPr>
                <w:rFonts w:ascii="宋体" w:hAnsi="宋体"/>
                <w:sz w:val="28"/>
              </w:rPr>
              <w:t>212003唐山市统计局（参公2户）</w:t>
            </w:r>
          </w:p>
        </w:tc>
        <w:tc>
          <w:tcPr>
            <w:tcW w:w="1643" w:type="dxa"/>
            <w:gridSpan w:val="2"/>
            <w:tcBorders>
              <w:top w:val="nil"/>
              <w:left w:val="nil"/>
              <w:right w:val="nil"/>
            </w:tcBorders>
            <w:vAlign w:val="center"/>
          </w:tcPr>
          <w:p>
            <w:pPr>
              <w:widowControl/>
              <w:jc w:val="right"/>
              <w:rPr>
                <w:rFonts w:ascii="黑体" w:eastAsia="黑体"/>
                <w:b/>
              </w:rPr>
            </w:pPr>
            <w:r>
              <w:rPr>
                <w:rFonts w:hint="eastAsia" w:ascii="宋体" w:hAnsi="宋体"/>
                <w:sz w:val="24"/>
              </w:rPr>
              <w:t>单位：人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参公单位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副处级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33</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24</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24</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22</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r>
    </w:tbl>
    <w:p/>
    <w:p>
      <w:pPr>
        <w:spacing w:line="360" w:lineRule="auto"/>
        <w:jc w:val="left"/>
        <w:sectPr>
          <w:headerReference r:id="rId35" w:type="default"/>
          <w:pgSz w:w="11906" w:h="16838"/>
          <w:pgMar w:top="1440" w:right="1800" w:bottom="1440" w:left="1800" w:header="851" w:footer="992" w:gutter="0"/>
          <w:cols w:space="720" w:num="1"/>
          <w:docGrid w:type="lines" w:linePitch="312"/>
        </w:sectPr>
      </w:pPr>
    </w:p>
    <w:p>
      <w:pPr>
        <w:jc w:val="center"/>
        <w:rPr>
          <w:rFonts w:ascii="黑体" w:eastAsia="黑体"/>
          <w:sz w:val="32"/>
          <w:szCs w:val="32"/>
        </w:rPr>
      </w:pPr>
      <w:r>
        <w:rPr>
          <w:rFonts w:hint="eastAsia" w:ascii="黑体" w:eastAsia="黑体"/>
          <w:sz w:val="32"/>
          <w:szCs w:val="32"/>
        </w:rPr>
        <w:t>正常公用经费计算依据情况表</w:t>
      </w:r>
    </w:p>
    <w:tbl>
      <w:tblPr>
        <w:tblW w:w="9497" w:type="dxa"/>
        <w:jc w:val="center"/>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50"/>
        <w:gridCol w:w="3597"/>
        <w:gridCol w:w="1276"/>
        <w:gridCol w:w="1222"/>
        <w:gridCol w:w="1134"/>
        <w:gridCol w:w="1418"/>
      </w:tblGrid>
      <w:tr>
        <w:trPr>
          <w:cantSplit/>
          <w:trHeight w:val="312" w:hRule="atLeast"/>
          <w:tblHeader/>
          <w:jc w:val="center"/>
        </w:trPr>
        <w:tc>
          <w:tcPr>
            <w:tcW w:w="9497" w:type="dxa"/>
            <w:gridSpan w:val="6"/>
            <w:tcBorders>
              <w:bottom w:val="single" w:color="auto" w:sz="4" w:space="0"/>
            </w:tcBorders>
            <w:vAlign w:val="center"/>
          </w:tcPr>
          <w:p>
            <w:pPr>
              <w:widowControl/>
              <w:jc w:val="left"/>
              <w:rPr>
                <w:rFonts w:ascii="黑体" w:hAnsi="黑体" w:eastAsia="黑体" w:cs="宋体"/>
                <w:b/>
                <w:bCs/>
                <w:color w:val="000000"/>
                <w:kern w:val="0"/>
                <w:szCs w:val="21"/>
              </w:rPr>
            </w:pPr>
            <w:r>
              <w:rPr>
                <w:rFonts w:ascii="宋体" w:hAnsi="宋体"/>
                <w:sz w:val="28"/>
              </w:rPr>
              <w:t>212003唐山市统计局（参公2户）</w:t>
            </w:r>
          </w:p>
        </w:tc>
      </w:tr>
      <w:tr>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r>
      <w:tr>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参公单位</w:t>
            </w: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6</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艘</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
      <w:pPr>
        <w:spacing w:line="360" w:lineRule="auto"/>
        <w:jc w:val="left"/>
        <w:sectPr>
          <w:headerReference r:id="rId36" w:type="default"/>
          <w:pgSz w:w="11906" w:h="16838"/>
          <w:pgMar w:top="1440" w:right="1800" w:bottom="1440" w:left="1800" w:header="851" w:footer="992" w:gutter="0"/>
          <w:cols w:space="720" w:num="1"/>
          <w:docGrid w:type="lines" w:linePitch="312"/>
        </w:sectPr>
      </w:pPr>
    </w:p>
    <w:p>
      <w:pPr>
        <w:spacing w:line="360" w:lineRule="auto"/>
        <w:jc w:val="center"/>
        <w:rPr>
          <w:rFonts w:ascii="宋体" w:hAnsi="宋体"/>
          <w:b/>
          <w:color w:val="000000"/>
          <w:sz w:val="44"/>
        </w:rPr>
      </w:pPr>
      <w:r>
        <w:rPr>
          <w:rFonts w:ascii="宋体" w:hAnsi="宋体"/>
          <w:b/>
          <w:color w:val="000000"/>
          <w:sz w:val="44"/>
        </w:rPr>
        <w:t>唐山市统计局（参公2户）收支预算说明</w:t>
      </w:r>
    </w:p>
    <w:p>
      <w:pPr>
        <w:spacing w:line="480" w:lineRule="auto"/>
        <w:jc w:val="left"/>
        <w:rPr>
          <w:rFonts w:ascii="宋体" w:hAnsi="宋体"/>
          <w:b/>
          <w:color w:val="000000"/>
          <w:sz w:val="28"/>
        </w:rPr>
      </w:pPr>
      <w:r>
        <w:rPr>
          <w:rFonts w:ascii="宋体" w:hAnsi="宋体"/>
          <w:b/>
          <w:color w:val="000000"/>
          <w:sz w:val="28"/>
        </w:rPr>
        <w:t>一、收入预算说明</w:t>
      </w:r>
    </w:p>
    <w:p/>
    <w:p>
      <w:pPr>
        <w:spacing w:line="360" w:lineRule="auto"/>
        <w:jc w:val="left"/>
        <w:rPr>
          <w:rFonts w:ascii="宋体" w:hAnsi="宋体"/>
          <w:b/>
          <w:color w:val="000000"/>
          <w:sz w:val="28"/>
        </w:rPr>
      </w:pPr>
      <w:r>
        <w:rPr>
          <w:rFonts w:ascii="宋体" w:hAnsi="宋体"/>
          <w:b/>
          <w:color w:val="000000"/>
          <w:sz w:val="28"/>
        </w:rPr>
        <w:t>二、支出预算说明</w:t>
      </w:r>
    </w:p>
    <w:p>
      <w:pPr>
        <w:spacing w:line="480" w:lineRule="auto"/>
        <w:jc w:val="left"/>
        <w:rPr>
          <w:rFonts w:ascii="宋体" w:hAnsi="宋体"/>
          <w:b/>
          <w:color w:val="000000"/>
          <w:sz w:val="28"/>
        </w:rPr>
      </w:pPr>
      <w:r>
        <w:rPr>
          <w:rFonts w:ascii="宋体" w:hAnsi="宋体"/>
          <w:b/>
          <w:color w:val="000000"/>
          <w:sz w:val="28"/>
        </w:rPr>
        <w:t>（一）专项公用经费项目安排说明</w:t>
      </w:r>
    </w:p>
    <w:p>
      <w:pPr>
        <w:spacing w:line="360" w:lineRule="auto"/>
        <w:jc w:val="left"/>
        <w:sectPr>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单位专项公用经费安排说明</w:t>
      </w:r>
    </w:p>
    <w:tbl>
      <w:tblPr>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85" w:type="dxa"/>
          <w:bottom w:w="57" w:type="dxa"/>
          <w:right w:w="85" w:type="dxa"/>
        </w:tblCellMar>
      </w:tblPr>
      <w:tblGrid>
        <w:gridCol w:w="1809"/>
        <w:gridCol w:w="2268"/>
        <w:gridCol w:w="1418"/>
        <w:gridCol w:w="247"/>
        <w:gridCol w:w="8432"/>
      </w:tblGrid>
      <w:tr>
        <w:trPr>
          <w:cantSplit/>
          <w:trHeight w:val="312" w:hRule="atLeast"/>
          <w:tblHeader/>
          <w:jc w:val="center"/>
        </w:trPr>
        <w:tc>
          <w:tcPr>
            <w:tcW w:w="5742" w:type="dxa"/>
            <w:gridSpan w:val="4"/>
            <w:tcBorders>
              <w:bottom w:val="single" w:color="auto" w:sz="4" w:space="0"/>
            </w:tcBorders>
            <w:vAlign w:val="center"/>
          </w:tcPr>
          <w:p>
            <w:pPr>
              <w:widowControl/>
              <w:jc w:val="left"/>
              <w:rPr>
                <w:rFonts w:ascii="黑体" w:hAnsi="黑体" w:eastAsia="黑体" w:cs="宋体"/>
                <w:b/>
                <w:color w:val="000000"/>
                <w:kern w:val="0"/>
                <w:szCs w:val="21"/>
              </w:rPr>
            </w:pPr>
            <w:r>
              <w:rPr>
                <w:rFonts w:ascii="宋体" w:hAnsi="宋体"/>
                <w:sz w:val="28"/>
              </w:rPr>
              <w:t>212003唐山市统计局（参公2户）</w:t>
            </w:r>
          </w:p>
        </w:tc>
        <w:tc>
          <w:tcPr>
            <w:tcW w:w="8432" w:type="dxa"/>
            <w:tcBorders>
              <w:bottom w:val="single" w:color="auto" w:sz="4" w:space="0"/>
            </w:tcBorders>
            <w:vAlign w:val="center"/>
          </w:tcPr>
          <w:p>
            <w:pPr>
              <w:widowControl/>
              <w:jc w:val="right"/>
              <w:rPr>
                <w:rFonts w:ascii="黑体" w:hAnsi="黑体" w:eastAsia="黑体" w:cs="宋体"/>
                <w:b/>
                <w:color w:val="000000"/>
                <w:kern w:val="0"/>
                <w:szCs w:val="21"/>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continue"/>
            <w:vAlign w:val="center"/>
          </w:tcPr>
          <w:p>
            <w:pPr>
              <w:widowControl/>
              <w:jc w:val="center"/>
              <w:rPr>
                <w:rFonts w:ascii="黑体" w:hAnsi="黑体" w:eastAsia="黑体" w:cs="宋体"/>
                <w:b/>
                <w:bCs/>
                <w:color w:val="000000"/>
                <w:kern w:val="0"/>
                <w:szCs w:val="21"/>
              </w:rPr>
            </w:pPr>
          </w:p>
        </w:tc>
        <w:tc>
          <w:tcPr>
            <w:tcW w:w="2268" w:type="dxa"/>
            <w:vMerge w:val="continue"/>
            <w:vAlign w:val="center"/>
          </w:tcPr>
          <w:p>
            <w:pPr>
              <w:widowControl/>
              <w:jc w:val="center"/>
              <w:rPr>
                <w:rFonts w:ascii="黑体" w:hAnsi="黑体" w:eastAsia="黑体" w:cs="宋体"/>
                <w:b/>
                <w:bCs/>
                <w:color w:val="000000"/>
                <w:kern w:val="0"/>
                <w:szCs w:val="21"/>
              </w:rPr>
            </w:pPr>
          </w:p>
        </w:tc>
        <w:tc>
          <w:tcPr>
            <w:tcW w:w="1418" w:type="dxa"/>
            <w:vMerge w:val="continue"/>
            <w:vAlign w:val="center"/>
          </w:tcPr>
          <w:p>
            <w:pPr>
              <w:widowControl/>
              <w:jc w:val="center"/>
              <w:rPr>
                <w:rFonts w:ascii="黑体" w:hAnsi="黑体" w:eastAsia="黑体" w:cs="宋体"/>
                <w:b/>
                <w:bCs/>
                <w:color w:val="000000"/>
                <w:kern w:val="0"/>
                <w:szCs w:val="21"/>
              </w:rPr>
            </w:pPr>
          </w:p>
        </w:tc>
        <w:tc>
          <w:tcPr>
            <w:tcW w:w="8679" w:type="dxa"/>
            <w:gridSpan w:val="2"/>
            <w:vMerge w:val="continue"/>
            <w:vAlign w:val="center"/>
          </w:tcPr>
          <w:p>
            <w:pPr>
              <w:widowControl/>
              <w:jc w:val="center"/>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continue"/>
            <w:vAlign w:val="center"/>
          </w:tcPr>
          <w:p>
            <w:pPr>
              <w:widowControl/>
              <w:jc w:val="left"/>
              <w:rPr>
                <w:rFonts w:ascii="宋体" w:hAnsi="宋体" w:cs="宋体"/>
                <w:color w:val="000000"/>
                <w:kern w:val="0"/>
                <w:szCs w:val="21"/>
              </w:rPr>
            </w:pPr>
          </w:p>
        </w:tc>
        <w:tc>
          <w:tcPr>
            <w:tcW w:w="2268" w:type="dxa"/>
            <w:vMerge w:val="continue"/>
            <w:vAlign w:val="center"/>
          </w:tcPr>
          <w:p>
            <w:pPr>
              <w:widowControl/>
              <w:jc w:val="lef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8679" w:type="dxa"/>
            <w:gridSpan w:val="2"/>
            <w:vMerge w:val="continue"/>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Align w:val="center"/>
          </w:tcPr>
          <w:p>
            <w:pPr>
              <w:widowControl/>
              <w:jc w:val="left"/>
              <w:rPr>
                <w:rFonts w:ascii="宋体" w:hAnsi="宋体" w:cs="宋体"/>
                <w:color w:val="000000"/>
                <w:kern w:val="0"/>
                <w:szCs w:val="21"/>
              </w:rPr>
            </w:pP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172.93</w:t>
            </w:r>
          </w:p>
        </w:tc>
        <w:tc>
          <w:tcPr>
            <w:tcW w:w="8679" w:type="dxa"/>
            <w:gridSpan w:val="2"/>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21200317GPX0001</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新型农业经营主体统计调查培训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培训费</w:t>
            </w:r>
            <w:r>
              <w:rPr>
                <w:rFonts w:ascii="宋体" w:hAnsi="宋体" w:cs="宋体"/>
                <w:color w:val="000000"/>
                <w:kern w:val="0"/>
                <w:szCs w:val="21"/>
              </w:rPr>
              <w:t>2万元：200人×50元/1天*2次＝3万元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依据市委、市政府《关于加快培育新型农业经营主体的指导意见》精神（唐办发[2014]9号），建立完善新型农业经营主体统计调查监测管理体系，唐山市人民政府办公厅下发了《关于开展新型农业经营主体统计调查工作的通知》（唐政办函2014[147]号）。从2014年起在全市开展新型农业经营主体统计调查工作。开展新型农业经营主体统计调查，是落实市委、市政府《关于深化农村改革加快发展现代农业实施意见》的重要举措，为满足市委、市政府领导科学研判我市农村改革发展提</w:t>
            </w:r>
            <w:r>
              <w:rPr>
                <w:rFonts w:hint="eastAsia" w:ascii="宋体" w:hAnsi="宋体" w:cs="宋体"/>
                <w:color w:val="000000"/>
                <w:kern w:val="0"/>
                <w:szCs w:val="21"/>
              </w:rPr>
              <w:t>供基础性统计资料。按照市委、市政府制定的各类新型农业经营主体的认定标准，统计部门将每年对</w:t>
            </w:r>
            <w:r>
              <w:rPr>
                <w:rFonts w:ascii="宋体" w:hAnsi="宋体" w:cs="宋体"/>
                <w:color w:val="000000"/>
                <w:kern w:val="0"/>
                <w:szCs w:val="21"/>
              </w:rPr>
              <w:t xml:space="preserve"> 5000多个符合统计认定标准的新型农业经营主体开展统计调查工作。</w:t>
            </w:r>
          </w:p>
          <w:p>
            <w:pPr>
              <w:widowControl/>
              <w:jc w:val="left"/>
              <w:rPr>
                <w:rFonts w:ascii="宋体" w:hAnsi="宋体" w:cs="宋体"/>
                <w:color w:val="000000"/>
                <w:kern w:val="0"/>
                <w:szCs w:val="21"/>
              </w:rPr>
            </w:pPr>
            <w:r>
              <w:rPr>
                <w:rFonts w:hint="eastAsia" w:ascii="宋体" w:hAnsi="宋体" w:cs="宋体"/>
                <w:color w:val="000000"/>
                <w:kern w:val="0"/>
                <w:szCs w:val="21"/>
              </w:rPr>
              <w:t>　　市统计局直接负责全市新型农业经营主体统计调查工作的组织与指导，此项调查分新型农业经营主体单位申报调查和每年一次的常规调查。新型农业经营主体单位申报调查，是按照调查方案要求，每年对符合认定标准的新增新型农业经营主体单位资料进行现场核实，确定新增入统单位。常规调查，对符合认定标准的新型农业经营主体单位开展常规调查，调查为年报。</w:t>
            </w:r>
          </w:p>
          <w:p>
            <w:pPr>
              <w:widowControl/>
              <w:jc w:val="left"/>
              <w:rPr>
                <w:rFonts w:ascii="宋体" w:hAnsi="宋体" w:cs="宋体"/>
                <w:color w:val="000000"/>
                <w:kern w:val="0"/>
                <w:szCs w:val="21"/>
              </w:rPr>
            </w:pPr>
            <w:r>
              <w:rPr>
                <w:rFonts w:hint="eastAsia" w:ascii="宋体" w:hAnsi="宋体" w:cs="宋体"/>
                <w:color w:val="000000"/>
                <w:kern w:val="0"/>
                <w:szCs w:val="21"/>
              </w:rPr>
              <w:t>　　</w:t>
            </w:r>
          </w:p>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21200317GPX0002</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规模以下工业抽样调查培训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1.30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财政、统计局联合发文</w:t>
            </w:r>
            <w:r>
              <w:rPr>
                <w:rFonts w:ascii="宋体" w:hAnsi="宋体" w:cs="宋体"/>
                <w:color w:val="000000"/>
                <w:kern w:val="0"/>
                <w:szCs w:val="21"/>
              </w:rPr>
              <w:t>[2005]7号文件及唐统发[2006]22号文件，已批复。</w:t>
            </w:r>
          </w:p>
          <w:p>
            <w:pPr>
              <w:widowControl/>
              <w:jc w:val="left"/>
              <w:rPr>
                <w:rFonts w:ascii="宋体" w:hAnsi="宋体" w:cs="宋体"/>
                <w:color w:val="000000"/>
                <w:kern w:val="0"/>
                <w:szCs w:val="21"/>
              </w:rPr>
            </w:pPr>
            <w:r>
              <w:rPr>
                <w:rFonts w:hint="eastAsia" w:ascii="宋体" w:hAnsi="宋体" w:cs="宋体"/>
                <w:color w:val="000000"/>
                <w:kern w:val="0"/>
                <w:szCs w:val="21"/>
              </w:rPr>
              <w:t>　　　　按照要求，一年培训</w:t>
            </w:r>
            <w:r>
              <w:rPr>
                <w:rFonts w:ascii="宋体" w:hAnsi="宋体" w:cs="宋体"/>
                <w:color w:val="000000"/>
                <w:kern w:val="0"/>
                <w:szCs w:val="21"/>
              </w:rPr>
              <w:t>1次，培训人员住宿费每天60元，用餐全天30元，90*145=13050元。</w:t>
            </w:r>
          </w:p>
          <w:p>
            <w:pPr>
              <w:widowControl/>
              <w:jc w:val="left"/>
              <w:rPr>
                <w:rFonts w:ascii="宋体" w:hAnsi="宋体" w:cs="宋体"/>
                <w:color w:val="000000"/>
                <w:kern w:val="0"/>
                <w:szCs w:val="21"/>
              </w:rPr>
            </w:pPr>
            <w:r>
              <w:rPr>
                <w:rFonts w:hint="eastAsia" w:ascii="宋体" w:hAnsi="宋体" w:cs="宋体"/>
                <w:color w:val="000000"/>
                <w:kern w:val="0"/>
                <w:szCs w:val="21"/>
              </w:rPr>
              <w:t>　　　　反映规模以下工业的基本总量，为国民经济核算提供基础数据。年产品销售收入</w:t>
            </w:r>
            <w:r>
              <w:rPr>
                <w:rFonts w:ascii="宋体" w:hAnsi="宋体" w:cs="宋体"/>
                <w:color w:val="000000"/>
                <w:kern w:val="0"/>
                <w:szCs w:val="21"/>
              </w:rPr>
              <w:t>2000万元以下的非国有工业企业和全部个体经营工业单位。具体包括，调查年份年初在册的年产品销售收入2000万元以下的非国有工业企业、全部个体经营工业单位以及当年新建的年产品销售收入2000万元以下的非国有工业企业和新增的全部个体经营工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21200317GPX0003</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能源调查培训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每年对前</w:t>
            </w:r>
            <w:r>
              <w:rPr>
                <w:rFonts w:ascii="宋体" w:hAnsi="宋体" w:cs="宋体"/>
                <w:color w:val="000000"/>
                <w:kern w:val="0"/>
                <w:szCs w:val="21"/>
              </w:rPr>
              <w:t>500家重点耗能单位进行业务培训，培训费用=500人*90元+5000（会议室）=50000元</w:t>
            </w:r>
          </w:p>
          <w:p>
            <w:pPr>
              <w:widowControl/>
              <w:jc w:val="left"/>
              <w:rPr>
                <w:rFonts w:ascii="宋体" w:hAnsi="宋体" w:cs="宋体"/>
                <w:color w:val="000000"/>
                <w:kern w:val="0"/>
                <w:szCs w:val="21"/>
              </w:rPr>
            </w:pPr>
            <w:r>
              <w:rPr>
                <w:rFonts w:hint="eastAsia" w:ascii="宋体" w:hAnsi="宋体" w:cs="宋体"/>
                <w:color w:val="000000"/>
                <w:kern w:val="0"/>
                <w:szCs w:val="21"/>
              </w:rPr>
              <w:t>　　　　根据唐山市人民政府《关于印发节能减排统计监测及考核实施方案和办法的通知》（唐政发</w:t>
            </w:r>
            <w:r>
              <w:rPr>
                <w:rFonts w:ascii="宋体" w:hAnsi="宋体" w:cs="宋体"/>
                <w:color w:val="000000"/>
                <w:kern w:val="0"/>
                <w:szCs w:val="21"/>
              </w:rPr>
              <w:t>[2008]11号）和《唐山市2013-2017年大气污染防治攻坚行动实施方案》（唐发〔2013〕14号）的文件要求，我局能源处负责我市能源生产、消费、流通以及煤炭消费和煤炭削减量的统计、监测工作。单位GDP能耗降低率和全社会煤炭削减量是省政府考核市政府的两项重要指标，是对全市工作具有“一票否决”权的两个约束性指</w:t>
            </w:r>
            <w:r>
              <w:rPr>
                <w:rFonts w:hint="eastAsia" w:ascii="宋体" w:hAnsi="宋体" w:cs="宋体"/>
                <w:color w:val="000000"/>
                <w:kern w:val="0"/>
                <w:szCs w:val="21"/>
              </w:rPr>
              <w:t>标，是我市节能工作和煤炭削减工作成果的最终统计体现。多年来，我局顺利地对节能、削煤工作进行了统计、监测和考核工作，在全市节能、削煤工作的中充分发挥了统计职能。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21200317GPX0004</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劳动力调查培训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为真实准确地反映我国的就业状况，为政府制定和完善就业政策，推动实现更高质量的就业提供基础依据，国家统计局决定开展大城市月度劳动力调查。根据国家统计局关于认真做好大城市月度劳动力调查扩大范围和样本工作的通知（国统字</w:t>
            </w:r>
            <w:r>
              <w:rPr>
                <w:rFonts w:ascii="宋体" w:hAnsi="宋体" w:cs="宋体"/>
                <w:color w:val="000000"/>
                <w:kern w:val="0"/>
                <w:szCs w:val="21"/>
              </w:rPr>
              <w:t>[2013]8号）精神和省局工作要求，特申请此项工作的调查经费。</w:t>
            </w:r>
          </w:p>
          <w:p>
            <w:pPr>
              <w:widowControl/>
              <w:jc w:val="left"/>
              <w:rPr>
                <w:rFonts w:ascii="宋体" w:hAnsi="宋体" w:cs="宋体"/>
                <w:color w:val="000000"/>
                <w:kern w:val="0"/>
                <w:szCs w:val="21"/>
              </w:rPr>
            </w:pPr>
            <w:r>
              <w:rPr>
                <w:rFonts w:hint="eastAsia" w:ascii="宋体" w:hAnsi="宋体" w:cs="宋体"/>
                <w:color w:val="000000"/>
                <w:kern w:val="0"/>
                <w:szCs w:val="21"/>
              </w:rPr>
              <w:t>　　　　培训费</w:t>
            </w:r>
            <w:r>
              <w:rPr>
                <w:rFonts w:ascii="宋体" w:hAnsi="宋体" w:cs="宋体"/>
                <w:color w:val="000000"/>
                <w:kern w:val="0"/>
                <w:szCs w:val="21"/>
              </w:rPr>
              <w:t>4万元</w:t>
            </w:r>
          </w:p>
          <w:p>
            <w:pPr>
              <w:widowControl/>
              <w:jc w:val="left"/>
              <w:rPr>
                <w:rFonts w:ascii="宋体" w:hAnsi="宋体" w:cs="宋体"/>
                <w:color w:val="000000"/>
                <w:kern w:val="0"/>
                <w:szCs w:val="21"/>
              </w:rPr>
            </w:pPr>
            <w:r>
              <w:rPr>
                <w:rFonts w:hint="eastAsia" w:ascii="宋体" w:hAnsi="宋体" w:cs="宋体"/>
                <w:color w:val="000000"/>
                <w:kern w:val="0"/>
                <w:szCs w:val="21"/>
              </w:rPr>
              <w:t>　　　　调查员调查培训费：</w:t>
            </w:r>
            <w:r>
              <w:rPr>
                <w:rFonts w:ascii="宋体" w:hAnsi="宋体" w:cs="宋体"/>
                <w:color w:val="000000"/>
                <w:kern w:val="0"/>
                <w:szCs w:val="21"/>
              </w:rPr>
              <w:t>100人*80元*2次=16000元</w:t>
            </w:r>
          </w:p>
          <w:p>
            <w:pPr>
              <w:widowControl/>
              <w:jc w:val="left"/>
              <w:rPr>
                <w:rFonts w:ascii="宋体" w:hAnsi="宋体" w:cs="宋体"/>
                <w:color w:val="000000"/>
                <w:kern w:val="0"/>
                <w:szCs w:val="21"/>
              </w:rPr>
            </w:pPr>
            <w:r>
              <w:rPr>
                <w:rFonts w:hint="eastAsia" w:ascii="宋体" w:hAnsi="宋体" w:cs="宋体"/>
                <w:color w:val="000000"/>
                <w:kern w:val="0"/>
                <w:szCs w:val="21"/>
              </w:rPr>
              <w:t>　　　　县区业务培训费：</w:t>
            </w:r>
            <w:r>
              <w:rPr>
                <w:rFonts w:ascii="宋体" w:hAnsi="宋体" w:cs="宋体"/>
                <w:color w:val="000000"/>
                <w:kern w:val="0"/>
                <w:szCs w:val="21"/>
              </w:rPr>
              <w:t>50人*80元*2次=8000元</w:t>
            </w:r>
          </w:p>
          <w:p>
            <w:pPr>
              <w:widowControl/>
              <w:jc w:val="left"/>
              <w:rPr>
                <w:rFonts w:ascii="宋体" w:hAnsi="宋体" w:cs="宋体"/>
                <w:color w:val="000000"/>
                <w:kern w:val="0"/>
                <w:szCs w:val="21"/>
              </w:rPr>
            </w:pPr>
            <w:r>
              <w:rPr>
                <w:rFonts w:hint="eastAsia" w:ascii="宋体" w:hAnsi="宋体" w:cs="宋体"/>
                <w:color w:val="000000"/>
                <w:kern w:val="0"/>
                <w:szCs w:val="21"/>
              </w:rPr>
              <w:t>　　　　调查员</w:t>
            </w:r>
            <w:r>
              <w:rPr>
                <w:rFonts w:ascii="宋体" w:hAnsi="宋体" w:cs="宋体"/>
                <w:color w:val="000000"/>
                <w:kern w:val="0"/>
                <w:szCs w:val="21"/>
              </w:rPr>
              <w:t>PDA使用培训费：100人*80元*1次=8000元</w:t>
            </w:r>
          </w:p>
          <w:p>
            <w:pPr>
              <w:widowControl/>
              <w:jc w:val="left"/>
              <w:rPr>
                <w:rFonts w:ascii="宋体" w:hAnsi="宋体" w:cs="宋体"/>
                <w:color w:val="000000"/>
                <w:kern w:val="0"/>
                <w:szCs w:val="21"/>
              </w:rPr>
            </w:pPr>
            <w:r>
              <w:rPr>
                <w:rFonts w:hint="eastAsia" w:ascii="宋体" w:hAnsi="宋体" w:cs="宋体"/>
                <w:color w:val="000000"/>
                <w:kern w:val="0"/>
                <w:szCs w:val="21"/>
              </w:rPr>
              <w:t>　　　　县区数据处理程序培训费：</w:t>
            </w:r>
            <w:r>
              <w:rPr>
                <w:rFonts w:ascii="宋体" w:hAnsi="宋体" w:cs="宋体"/>
                <w:color w:val="000000"/>
                <w:kern w:val="0"/>
                <w:szCs w:val="21"/>
              </w:rPr>
              <w:t>50人*80元*2次=8000元</w:t>
            </w:r>
          </w:p>
          <w:p>
            <w:pPr>
              <w:widowControl/>
              <w:jc w:val="left"/>
              <w:rPr>
                <w:rFonts w:ascii="宋体" w:hAnsi="宋体" w:cs="宋体"/>
                <w:color w:val="000000"/>
                <w:kern w:val="0"/>
                <w:szCs w:val="21"/>
              </w:rPr>
            </w:pPr>
            <w:r>
              <w:rPr>
                <w:rFonts w:hint="eastAsia" w:ascii="宋体" w:hAnsi="宋体" w:cs="宋体"/>
                <w:color w:val="000000"/>
                <w:kern w:val="0"/>
                <w:szCs w:val="21"/>
              </w:rPr>
              <w:t>　　　　小计：</w:t>
            </w:r>
            <w:r>
              <w:rPr>
                <w:rFonts w:ascii="宋体" w:hAnsi="宋体" w:cs="宋体"/>
                <w:color w:val="000000"/>
                <w:kern w:val="0"/>
                <w:szCs w:val="21"/>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21200317GPX0005</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统计从业人员培训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培训费</w:t>
            </w:r>
            <w:r>
              <w:rPr>
                <w:rFonts w:ascii="宋体" w:hAnsi="宋体" w:cs="宋体"/>
                <w:color w:val="000000"/>
                <w:kern w:val="0"/>
                <w:szCs w:val="21"/>
              </w:rPr>
              <w:t>5万元：举办考前辅导培训，500-600人参加，2天时间，约5万元。各级统计机构要按照67号文件要求，把统计人员岗位培训经费列入年度预算；把开展干部培训工作所需场地租用、宣传、公告、印刷、会议、交通、差旅、老师聘请、学习资料、考试等经费支出纳入预算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21200317GPX0006</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城镇低收入居民基本生活费用价格指数调查培训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0.60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工作部署及方案培训、数据审核及评估会议费用开支</w:t>
            </w:r>
            <w:r>
              <w:rPr>
                <w:rFonts w:ascii="宋体" w:hAnsi="宋体" w:cs="宋体"/>
                <w:color w:val="000000"/>
                <w:kern w:val="0"/>
                <w:szCs w:val="21"/>
              </w:rPr>
              <w:t>6000元，此项工作自2011年启动已申请追加经费，省、市5单位均有会签文件（冀发改价格【2011】1034号及唐价办字【2011】5号）。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21200317GPX0007</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唐山市房地产网签价格统计调查培训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培训费</w:t>
            </w:r>
            <w:r>
              <w:rPr>
                <w:rFonts w:ascii="宋体" w:hAnsi="宋体" w:cs="宋体"/>
                <w:color w:val="000000"/>
                <w:kern w:val="0"/>
                <w:szCs w:val="21"/>
              </w:rPr>
              <w:t>2万元：房地产企业350家×60元=21000元。及时反映唐山市房地产价格变动情况，分析研究国家及唐山市房地产价格变动对社会经济发展的影响。按照国家统计调查方法制度要求,对唐山市城区全部房地产经营企业和部分二手房中介机构进行现场调查，并结合房地产网签数据,编制唐山市新建住宅价格指数、唐山市新建商品住宅价格指数和二手住宅价格指数,按照月度对社会进行发布。上述价格指数是国家及地方制定房地产调控政策措施的主要依据，起到了晴雨表和方向标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21200317GPX0008</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唐山市粮食产量抽样调查培训</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我市</w:t>
            </w:r>
            <w:r>
              <w:rPr>
                <w:rFonts w:ascii="宋体" w:hAnsi="宋体" w:cs="宋体"/>
                <w:color w:val="000000"/>
                <w:kern w:val="0"/>
                <w:szCs w:val="21"/>
              </w:rPr>
              <w:t>7个产粮大县辅助调查人员420人，每年两次培训（夏粮和秋粮）培训费2万。</w:t>
            </w:r>
          </w:p>
          <w:p>
            <w:pPr>
              <w:widowControl/>
              <w:jc w:val="left"/>
              <w:rPr>
                <w:rFonts w:ascii="宋体" w:hAnsi="宋体" w:cs="宋体"/>
                <w:color w:val="000000"/>
                <w:kern w:val="0"/>
                <w:szCs w:val="21"/>
              </w:rPr>
            </w:pPr>
            <w:r>
              <w:rPr>
                <w:rFonts w:hint="eastAsia" w:ascii="宋体" w:hAnsi="宋体" w:cs="宋体"/>
                <w:color w:val="000000"/>
                <w:kern w:val="0"/>
                <w:szCs w:val="21"/>
              </w:rPr>
              <w:t>　　为切实做好我市粮食产量抽样调查工作，市、县两级统计调查部门每年组织调查人员进行调查样本轮换、农村辅助调查员业务培训、资料印刷、基层督导检查、调查数据审核评估，使各级调查人员熟练掌握粮食产量抽样调查操作流程，从调查地块草图绘制、面积丈量、预产、实产、入户调查等具体工作环节，切实做好现场实地调查。国家统计局河北调查总队、河北省统计局将依据各地调查组织情况、人员到位情况、经费保障情况、现场调查情况和调查数据质量，作为评估核定各县（市）区调查数据结果的依据。为保证调查工作能够顺利开展，本着节约开支，确保所需的原则，自</w:t>
            </w:r>
            <w:r>
              <w:rPr>
                <w:rFonts w:ascii="宋体" w:hAnsi="宋体" w:cs="宋体"/>
                <w:color w:val="000000"/>
                <w:kern w:val="0"/>
                <w:szCs w:val="21"/>
              </w:rPr>
              <w:t>2014年起，经财政批准，每年纳入政府年度预算之中。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21200317GYS0009</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新型农业经营主体统计调查印刷费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新型农业经营主体统计调查印刷费</w:t>
            </w:r>
            <w:r>
              <w:rPr>
                <w:rFonts w:ascii="宋体" w:hAnsi="宋体" w:cs="宋体"/>
                <w:color w:val="000000"/>
                <w:kern w:val="0"/>
                <w:szCs w:val="21"/>
              </w:rPr>
              <w:t>2万元，主要为调查方案、培训资料、调查报表等印刷费用。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21200317GYS0010</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规模以下工业抽样调查印刷费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规模以下工业抽样调查印刷费</w:t>
            </w:r>
            <w:r>
              <w:rPr>
                <w:rFonts w:ascii="宋体" w:hAnsi="宋体" w:cs="宋体"/>
                <w:color w:val="000000"/>
                <w:kern w:val="0"/>
                <w:szCs w:val="21"/>
              </w:rPr>
              <w:t>2万元</w:t>
            </w:r>
          </w:p>
          <w:p>
            <w:pPr>
              <w:widowControl/>
              <w:jc w:val="left"/>
              <w:rPr>
                <w:rFonts w:ascii="宋体" w:hAnsi="宋体" w:cs="宋体"/>
                <w:color w:val="000000"/>
                <w:kern w:val="0"/>
                <w:szCs w:val="21"/>
              </w:rPr>
            </w:pPr>
            <w:r>
              <w:rPr>
                <w:rFonts w:hint="eastAsia" w:ascii="宋体" w:hAnsi="宋体" w:cs="宋体"/>
                <w:color w:val="000000"/>
                <w:kern w:val="0"/>
                <w:szCs w:val="21"/>
              </w:rPr>
              <w:t>　　　　调查制度人手一册，</w:t>
            </w:r>
            <w:r>
              <w:rPr>
                <w:rFonts w:ascii="宋体" w:hAnsi="宋体" w:cs="宋体"/>
                <w:color w:val="000000"/>
                <w:kern w:val="0"/>
                <w:szCs w:val="21"/>
              </w:rPr>
              <w:t>500册，每册一元，需500*1=500元；</w:t>
            </w:r>
          </w:p>
          <w:p>
            <w:pPr>
              <w:widowControl/>
              <w:jc w:val="left"/>
              <w:rPr>
                <w:rFonts w:ascii="宋体" w:hAnsi="宋体" w:cs="宋体"/>
                <w:color w:val="000000"/>
                <w:kern w:val="0"/>
                <w:szCs w:val="21"/>
              </w:rPr>
            </w:pPr>
            <w:r>
              <w:rPr>
                <w:rFonts w:hint="eastAsia" w:ascii="宋体" w:hAnsi="宋体" w:cs="宋体"/>
                <w:color w:val="000000"/>
                <w:kern w:val="0"/>
                <w:szCs w:val="21"/>
              </w:rPr>
              <w:t>　　　　调查表：全年每户</w:t>
            </w:r>
            <w:r>
              <w:rPr>
                <w:rFonts w:ascii="宋体" w:hAnsi="宋体" w:cs="宋体"/>
                <w:color w:val="000000"/>
                <w:kern w:val="0"/>
                <w:szCs w:val="21"/>
              </w:rPr>
              <w:t>40元：40元*477户=19080，共计19580元。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21200317GYS0011</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能源调查印刷费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能源调查印刷费</w:t>
            </w:r>
            <w:r>
              <w:rPr>
                <w:rFonts w:ascii="宋体" w:hAnsi="宋体" w:cs="宋体"/>
                <w:color w:val="000000"/>
                <w:kern w:val="0"/>
                <w:szCs w:val="21"/>
              </w:rPr>
              <w:t>3万元。每年印制《能源统计制度及指标解释》2000册，单价15元，印刷费30000元。发放范围为规上工业企业、县区、乡镇统计和部分非工业重点能耗单位。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21200317GYS0012</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劳动力调查印刷费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劳动力调查印刷费</w:t>
            </w:r>
            <w:r>
              <w:rPr>
                <w:rFonts w:ascii="宋体" w:hAnsi="宋体" w:cs="宋体"/>
                <w:color w:val="000000"/>
                <w:kern w:val="0"/>
                <w:szCs w:val="21"/>
              </w:rPr>
              <w:t>4万元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调查表印刷费：600份*2元*12月=14400元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调查单页印刷费：1200份*0.5元*12月=7200元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调查表封面印刷费：60*1元*12月=720元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致调查户一封信印刷费：1200份*1元*12月=14400元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劳动力调查统计制度》印刷费：100本*15元=1500元</w:t>
            </w:r>
          </w:p>
          <w:p>
            <w:pPr>
              <w:widowControl/>
              <w:jc w:val="left"/>
              <w:rPr>
                <w:rFonts w:ascii="宋体" w:hAnsi="宋体" w:cs="宋体"/>
                <w:color w:val="000000"/>
                <w:kern w:val="0"/>
                <w:szCs w:val="21"/>
              </w:rPr>
            </w:pPr>
            <w:r>
              <w:rPr>
                <w:rFonts w:hint="eastAsia" w:ascii="宋体" w:hAnsi="宋体" w:cs="宋体"/>
                <w:color w:val="000000"/>
                <w:kern w:val="0"/>
                <w:szCs w:val="21"/>
              </w:rPr>
              <w:t>　　　　《劳动力调查手册》印刷费：</w:t>
            </w:r>
            <w:r>
              <w:rPr>
                <w:rFonts w:ascii="宋体" w:hAnsi="宋体" w:cs="宋体"/>
                <w:color w:val="000000"/>
                <w:kern w:val="0"/>
                <w:szCs w:val="21"/>
              </w:rPr>
              <w:t>100本*15元=1500元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劳动力调查公告印刷费：90份*1.5元=135元</w:t>
            </w:r>
          </w:p>
          <w:p>
            <w:pPr>
              <w:widowControl/>
              <w:jc w:val="left"/>
              <w:rPr>
                <w:rFonts w:ascii="宋体" w:hAnsi="宋体" w:cs="宋体"/>
                <w:color w:val="000000"/>
                <w:kern w:val="0"/>
                <w:szCs w:val="21"/>
              </w:rPr>
            </w:pPr>
            <w:r>
              <w:rPr>
                <w:rFonts w:hint="eastAsia" w:ascii="宋体" w:hAnsi="宋体" w:cs="宋体"/>
                <w:color w:val="000000"/>
                <w:kern w:val="0"/>
                <w:szCs w:val="21"/>
              </w:rPr>
              <w:t>　　　　《劳动力调查编码手册》印刷费：</w:t>
            </w:r>
            <w:r>
              <w:rPr>
                <w:rFonts w:ascii="宋体" w:hAnsi="宋体" w:cs="宋体"/>
                <w:color w:val="000000"/>
                <w:kern w:val="0"/>
                <w:szCs w:val="21"/>
              </w:rPr>
              <w:t>50本*15元=750元</w:t>
            </w:r>
          </w:p>
          <w:p>
            <w:pPr>
              <w:widowControl/>
              <w:jc w:val="left"/>
              <w:rPr>
                <w:rFonts w:ascii="宋体" w:hAnsi="宋体" w:cs="宋体"/>
                <w:color w:val="000000"/>
                <w:kern w:val="0"/>
                <w:szCs w:val="21"/>
              </w:rPr>
            </w:pPr>
            <w:r>
              <w:rPr>
                <w:rFonts w:hint="eastAsia" w:ascii="宋体" w:hAnsi="宋体" w:cs="宋体"/>
                <w:color w:val="000000"/>
                <w:kern w:val="0"/>
                <w:szCs w:val="21"/>
              </w:rPr>
              <w:t>　　　　小计：</w:t>
            </w:r>
            <w:r>
              <w:rPr>
                <w:rFonts w:ascii="宋体" w:hAnsi="宋体" w:cs="宋体"/>
                <w:color w:val="000000"/>
                <w:kern w:val="0"/>
                <w:szCs w:val="21"/>
              </w:rPr>
              <w:t>40605元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21200317GYS0013</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统计从业人员培训印刷费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统计从业人员培训印刷费</w:t>
            </w:r>
            <w:r>
              <w:rPr>
                <w:rFonts w:ascii="宋体" w:hAnsi="宋体" w:cs="宋体"/>
                <w:color w:val="000000"/>
                <w:kern w:val="0"/>
                <w:szCs w:val="21"/>
              </w:rPr>
              <w:t>2.00万元。主要用于相关文件材料、继续教育试卷、报名表以及宣传广告费等。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21200317GYS0014</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城镇低收入居民基本生活费用价格指数调查印刷费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1.20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城镇低收入居民基本生活费用价格指数调查印刷费</w:t>
            </w:r>
            <w:r>
              <w:rPr>
                <w:rFonts w:ascii="宋体" w:hAnsi="宋体" w:cs="宋体"/>
                <w:color w:val="000000"/>
                <w:kern w:val="0"/>
                <w:szCs w:val="21"/>
              </w:rPr>
              <w:t>1.20万元，用来作调查问卷、抽样表格、指标解释等用途。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21200317GYS0015</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粮食产量抽样调查印刷费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3.15</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粮食产量抽样调查印刷费</w:t>
            </w:r>
            <w:r>
              <w:rPr>
                <w:rFonts w:ascii="宋体" w:hAnsi="宋体" w:cs="宋体"/>
                <w:color w:val="000000"/>
                <w:kern w:val="0"/>
                <w:szCs w:val="21"/>
              </w:rPr>
              <w:t>3.15万元。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2.报表、培训资料、调查方案制度等印刷费：420人*25元/种*3种（资料类型）=3.15万元。</w:t>
            </w:r>
          </w:p>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21200317GYS0016</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统计局机关各项印刷费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29.50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自</w:t>
            </w:r>
            <w:r>
              <w:rPr>
                <w:rFonts w:ascii="宋体" w:hAnsi="宋体" w:cs="宋体"/>
                <w:color w:val="000000"/>
                <w:kern w:val="0"/>
                <w:szCs w:val="21"/>
              </w:rPr>
              <w:t>1985年以来至今，财政局根据统计局业务量核定印刷费29.5万元（历年的批复文件财政均有备案），根据今年来实际情况及价格变化特调整明细如下：</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1）统计年鉴 1000本*140元=14万元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2）领导干部手册 500本*100元=5万元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3）快、月报（上、下册） 300本*12个月*8.5元=3万元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4）年度12个专业，各种、类报表13万元。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21200317GZX0017</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唐山市粮食产量抽样调查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粮食产量抽样调查劳务费</w:t>
            </w:r>
            <w:r>
              <w:rPr>
                <w:rFonts w:ascii="宋体" w:hAnsi="宋体" w:cs="宋体"/>
                <w:color w:val="000000"/>
                <w:kern w:val="0"/>
                <w:szCs w:val="21"/>
              </w:rPr>
              <w:t>2.00万</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1）样本轮换劳务费1万元；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我市7个产粮大县实地采收玉米（水稻）地块数120个，实地采收玉米（水稻）样本数360个，每年对调查样本地块进行更换。</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2）审核、复核、数据处理1万元；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21200317GZX0018</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能源调查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能源调查劳务费</w:t>
            </w:r>
            <w:r>
              <w:rPr>
                <w:rFonts w:ascii="宋体" w:hAnsi="宋体" w:cs="宋体"/>
                <w:color w:val="000000"/>
                <w:kern w:val="0"/>
                <w:szCs w:val="21"/>
              </w:rPr>
              <w:t>2万</w:t>
            </w:r>
          </w:p>
          <w:p>
            <w:pPr>
              <w:widowControl/>
              <w:jc w:val="left"/>
              <w:rPr>
                <w:rFonts w:ascii="宋体" w:hAnsi="宋体" w:cs="宋体"/>
                <w:color w:val="000000"/>
                <w:kern w:val="0"/>
                <w:szCs w:val="21"/>
              </w:rPr>
            </w:pPr>
            <w:r>
              <w:rPr>
                <w:rFonts w:hint="eastAsia" w:ascii="宋体" w:hAnsi="宋体" w:cs="宋体"/>
                <w:color w:val="000000"/>
                <w:kern w:val="0"/>
                <w:szCs w:val="21"/>
              </w:rPr>
              <w:t>　　　　劳务费是组织规模以下工业企业和个体户能源消费调查时发给调查员的劳务补助。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21200317GZX0019</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劳动力调查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劳动力调查劳务费</w:t>
            </w:r>
            <w:r>
              <w:rPr>
                <w:rFonts w:ascii="宋体" w:hAnsi="宋体" w:cs="宋体"/>
                <w:color w:val="000000"/>
                <w:kern w:val="0"/>
                <w:szCs w:val="21"/>
              </w:rPr>
              <w:t>5万。</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调查员劳务费5万元；21个调查点*12月*200元=50400元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21200317GZX0020</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城镇低收入居民基本生活费用价格指数调查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城镇低收入居民基本生活费用价格指数调查劳务费</w:t>
            </w:r>
            <w:r>
              <w:rPr>
                <w:rFonts w:ascii="宋体" w:hAnsi="宋体" w:cs="宋体"/>
                <w:color w:val="000000"/>
                <w:kern w:val="0"/>
                <w:szCs w:val="21"/>
              </w:rPr>
              <w:t>4万</w:t>
            </w:r>
          </w:p>
          <w:p>
            <w:pPr>
              <w:widowControl/>
              <w:jc w:val="left"/>
              <w:rPr>
                <w:rFonts w:ascii="宋体" w:hAnsi="宋体" w:cs="宋体"/>
                <w:color w:val="000000"/>
                <w:kern w:val="0"/>
                <w:szCs w:val="21"/>
              </w:rPr>
            </w:pPr>
            <w:r>
              <w:rPr>
                <w:rFonts w:hint="eastAsia" w:ascii="宋体" w:hAnsi="宋体" w:cs="宋体"/>
                <w:color w:val="000000"/>
                <w:kern w:val="0"/>
                <w:szCs w:val="21"/>
              </w:rPr>
              <w:t>　　　　调查人员补贴：</w:t>
            </w:r>
            <w:r>
              <w:rPr>
                <w:rFonts w:ascii="宋体" w:hAnsi="宋体" w:cs="宋体"/>
                <w:color w:val="000000"/>
                <w:kern w:val="0"/>
                <w:szCs w:val="21"/>
              </w:rPr>
              <w:t>1000户×40 =4万元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21200317GZX0021</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各项调查的其他相关费用</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40.00</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各项调查的其他相关费用</w:t>
            </w:r>
            <w:r>
              <w:rPr>
                <w:rFonts w:ascii="宋体" w:hAnsi="宋体" w:cs="宋体"/>
                <w:color w:val="000000"/>
                <w:kern w:val="0"/>
                <w:szCs w:val="21"/>
              </w:rPr>
              <w:t>40.00万</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1）劳动力调查购纪念品8万元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600户*12月*11元=79200元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 xml:space="preserve">        （2）房地产网签价格调查纪念品410家×2次×75=61500元。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3）城镇低收入居民调查网点、调查户补贴（购纪念品）：每年两次31*1000*2=62000，</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4）新型农业经营主体统计调查购纪念品</w:t>
            </w:r>
          </w:p>
          <w:p>
            <w:pPr>
              <w:widowControl/>
              <w:jc w:val="left"/>
              <w:rPr>
                <w:rFonts w:ascii="宋体" w:hAnsi="宋体" w:cs="宋体"/>
                <w:color w:val="000000"/>
                <w:kern w:val="0"/>
                <w:szCs w:val="21"/>
              </w:rPr>
            </w:pPr>
            <w:r>
              <w:rPr>
                <w:rFonts w:hint="eastAsia" w:ascii="宋体" w:hAnsi="宋体" w:cs="宋体"/>
                <w:color w:val="000000"/>
                <w:kern w:val="0"/>
                <w:szCs w:val="21"/>
              </w:rPr>
              <w:t>　　　　摸底入户调查：</w:t>
            </w:r>
            <w:r>
              <w:rPr>
                <w:rFonts w:ascii="宋体" w:hAnsi="宋体" w:cs="宋体"/>
                <w:color w:val="000000"/>
                <w:kern w:val="0"/>
                <w:szCs w:val="21"/>
              </w:rPr>
              <w:t xml:space="preserve">4000户×15元=6万元；根据摸底入户调查情况，开展年终的调查：4000户×15元=6万元 </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5）粮食产量入</w:t>
            </w:r>
            <w:r>
              <w:rPr>
                <w:rFonts w:hint="eastAsia" w:ascii="宋体" w:hAnsi="宋体" w:cs="宋体"/>
                <w:color w:val="000000"/>
                <w:kern w:val="0"/>
                <w:szCs w:val="21"/>
              </w:rPr>
              <w:t>村、入户调查纪念品</w:t>
            </w:r>
            <w:r>
              <w:rPr>
                <w:rFonts w:ascii="宋体" w:hAnsi="宋体" w:cs="宋体"/>
                <w:color w:val="000000"/>
                <w:kern w:val="0"/>
                <w:szCs w:val="21"/>
              </w:rPr>
              <w:t>7.65万元；</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7个产粮大县共涉及140个村民小组，140个*546元/村民小组=7.65 万元　　　　                   （6）规模以下工业调查购纪念品6万元</w:t>
            </w:r>
          </w:p>
          <w:p>
            <w:pPr>
              <w:widowControl/>
              <w:jc w:val="left"/>
              <w:rPr>
                <w:rFonts w:ascii="宋体" w:hAnsi="宋体" w:cs="宋体"/>
                <w:color w:val="000000"/>
                <w:kern w:val="0"/>
                <w:szCs w:val="21"/>
              </w:rPr>
            </w:pPr>
            <w:r>
              <w:rPr>
                <w:rFonts w:hint="eastAsia" w:ascii="宋体" w:hAnsi="宋体" w:cs="宋体"/>
                <w:color w:val="000000"/>
                <w:kern w:val="0"/>
                <w:szCs w:val="21"/>
              </w:rPr>
              <w:t>　　　　调查过程中需要聘用辅助调查员</w:t>
            </w:r>
            <w:r>
              <w:rPr>
                <w:rFonts w:ascii="宋体" w:hAnsi="宋体" w:cs="宋体"/>
                <w:color w:val="000000"/>
                <w:kern w:val="0"/>
                <w:szCs w:val="21"/>
              </w:rPr>
              <w:t>477名，根据要求，对辅助调查员给予适当补贴。每人每次调查需要三天时间，每天补助（以纪念品的形式发放）10元，477人*3天*4次*11元=62964元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21200317GZX0022</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城乡一体化住户调查</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51.18</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1）劳务费38.28万。</w:t>
            </w:r>
          </w:p>
          <w:p>
            <w:pPr>
              <w:widowControl/>
              <w:jc w:val="left"/>
              <w:rPr>
                <w:rFonts w:ascii="宋体" w:hAnsi="宋体" w:cs="宋体"/>
                <w:color w:val="000000"/>
                <w:kern w:val="0"/>
                <w:szCs w:val="21"/>
              </w:rPr>
            </w:pPr>
            <w:r>
              <w:rPr>
                <w:rFonts w:hint="eastAsia" w:ascii="宋体" w:hAnsi="宋体" w:cs="宋体"/>
                <w:color w:val="000000"/>
                <w:kern w:val="0"/>
                <w:szCs w:val="21"/>
              </w:rPr>
              <w:t>　　　　全市市区城乡住户调查共有</w:t>
            </w:r>
            <w:r>
              <w:rPr>
                <w:rFonts w:ascii="宋体" w:hAnsi="宋体" w:cs="宋体"/>
                <w:color w:val="000000"/>
                <w:kern w:val="0"/>
                <w:szCs w:val="21"/>
              </w:rPr>
              <w:t>202户，辅助调查员21人。根据唐政办函【2010】164号精神，城乡住户每月100元补贴，一年为24.24万元;辅助调查员每月200元补贴，一年为5.04万元，共计29.28万元。</w:t>
            </w:r>
          </w:p>
          <w:p>
            <w:pPr>
              <w:widowControl/>
              <w:jc w:val="left"/>
              <w:rPr>
                <w:rFonts w:ascii="宋体" w:hAnsi="宋体" w:cs="宋体"/>
                <w:color w:val="000000"/>
                <w:kern w:val="0"/>
                <w:szCs w:val="21"/>
              </w:rPr>
            </w:pPr>
            <w:r>
              <w:rPr>
                <w:rFonts w:hint="eastAsia" w:ascii="宋体" w:hAnsi="宋体" w:cs="宋体"/>
                <w:color w:val="000000"/>
                <w:kern w:val="0"/>
                <w:szCs w:val="21"/>
              </w:rPr>
              <w:t>　　　　按照国家统计局关于市区城乡住户调查方案要求，全市市区城乡住户调查每年轮换</w:t>
            </w:r>
            <w:r>
              <w:rPr>
                <w:rFonts w:ascii="宋体" w:hAnsi="宋体" w:cs="宋体"/>
                <w:color w:val="000000"/>
                <w:kern w:val="0"/>
                <w:szCs w:val="21"/>
              </w:rPr>
              <w:t>50%的记账户，每年轮换劳务费用为9万元。（包括辅助调查员住宅及基本情况摸底、核实、落实记账户费用，新住户培训费用和专项调查费用）</w:t>
            </w:r>
          </w:p>
          <w:p>
            <w:pPr>
              <w:widowControl/>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2）其他12.90万。非市区城乡住户两次入户</w:t>
            </w:r>
            <w:r>
              <w:rPr>
                <w:rFonts w:hint="eastAsia" w:ascii="宋体" w:hAnsi="宋体" w:cs="宋体"/>
                <w:color w:val="000000"/>
                <w:kern w:val="0"/>
                <w:szCs w:val="21"/>
              </w:rPr>
              <w:t>调查纪念品费用</w:t>
            </w:r>
            <w:r>
              <w:rPr>
                <w:rFonts w:ascii="宋体" w:hAnsi="宋体" w:cs="宋体"/>
                <w:color w:val="000000"/>
                <w:kern w:val="0"/>
                <w:szCs w:val="21"/>
              </w:rPr>
              <w:t>5.9万元。（共961户，平均每户每次30元），新住户样本轮换入户摸底调查纪念品7万元。</w:t>
            </w:r>
          </w:p>
        </w:tc>
      </w:tr>
    </w:tbl>
    <w:p>
      <w:pPr>
        <w:spacing w:line="20" w:lineRule="exact"/>
        <w:jc w:val="center"/>
        <w:rPr>
          <w:rFonts w:ascii="黑体" w:eastAsia="黑体"/>
          <w:b/>
          <w:sz w:val="32"/>
          <w:szCs w:val="32"/>
        </w:rPr>
      </w:pPr>
    </w:p>
    <w:p>
      <w:pPr>
        <w:spacing w:line="20" w:lineRule="exact"/>
        <w:jc w:val="center"/>
        <w:rPr>
          <w:rFonts w:ascii="黑体" w:eastAsia="黑体"/>
          <w:b/>
          <w:sz w:val="32"/>
          <w:szCs w:val="32"/>
        </w:rPr>
      </w:pPr>
    </w:p>
    <w:p>
      <w:pPr>
        <w:spacing w:line="20" w:lineRule="exact"/>
        <w:jc w:val="center"/>
        <w:rPr>
          <w:rFonts w:ascii="黑体" w:eastAsia="黑体"/>
          <w:b/>
          <w:sz w:val="32"/>
          <w:szCs w:val="32"/>
        </w:rPr>
      </w:pPr>
    </w:p>
    <w:p>
      <w:pPr>
        <w:spacing w:line="20" w:lineRule="exact"/>
      </w:pPr>
    </w:p>
    <w:p>
      <w:pPr>
        <w:spacing w:line="360" w:lineRule="auto"/>
        <w:jc w:val="left"/>
        <w:sectPr>
          <w:headerReference r:id="rId37" w:type="default"/>
          <w:pgSz w:w="16838" w:h="11906" w:orient="landscape"/>
          <w:pgMar w:top="1800" w:right="1440" w:bottom="1800" w:left="1440" w:header="851" w:footer="992" w:gutter="0"/>
          <w:cols w:space="720" w:num="1"/>
          <w:docGrid w:type="lines" w:linePitch="312"/>
        </w:sectPr>
      </w:pPr>
    </w:p>
    <w:p>
      <w:pPr>
        <w:spacing w:line="480" w:lineRule="auto"/>
        <w:jc w:val="left"/>
        <w:rPr>
          <w:rFonts w:ascii="宋体" w:hAnsi="宋体"/>
          <w:b/>
          <w:color w:val="000000"/>
          <w:sz w:val="28"/>
        </w:rPr>
      </w:pPr>
      <w:r>
        <w:rPr>
          <w:rFonts w:ascii="宋体" w:hAnsi="宋体"/>
          <w:b/>
          <w:color w:val="000000"/>
          <w:sz w:val="28"/>
        </w:rPr>
        <w:t>（二）专项项目安排说明</w:t>
      </w:r>
    </w:p>
    <w:p>
      <w:pPr>
        <w:spacing w:line="360" w:lineRule="auto"/>
        <w:rPr>
          <w:b/>
          <w:szCs w:val="21"/>
        </w:rPr>
      </w:pPr>
      <w:r>
        <w:rPr>
          <w:rFonts w:hint="eastAsia"/>
          <w:b/>
          <w:szCs w:val="21"/>
        </w:rPr>
        <w:t>第三次全国农业普查经费</w:t>
      </w:r>
    </w:p>
    <w:p>
      <w:pPr>
        <w:spacing w:line="360" w:lineRule="auto"/>
        <w:ind w:firstLine="420" w:firstLineChars="200"/>
        <w:rPr>
          <w:rFonts w:ascii="宋体" w:hAnsi="宋体" w:cs="宋体"/>
          <w:szCs w:val="21"/>
        </w:rPr>
      </w:pPr>
      <w:r>
        <w:rPr>
          <w:rFonts w:hint="eastAsia" w:ascii="宋体" w:hAnsi="宋体" w:cs="宋体"/>
          <w:szCs w:val="21"/>
        </w:rPr>
        <w:t>根据《国务院关于开展第三次全国农业普查的通知》（国发［2015］34号）、《河北省人民政府关于开展第三次全国农业普查的通知》（冀政字［2015］49号）文件规定，2016年至2018年开展第三次全国农业普查工作。2016年拟投入300万元，2017年拟投入155万元，2018年拟投入45万元，资金来源为财政补助。</w:t>
      </w:r>
    </w:p>
    <w:p>
      <w:pPr>
        <w:spacing w:line="360" w:lineRule="auto"/>
        <w:rPr>
          <w:rFonts w:ascii="宋体" w:hAnsi="宋体" w:cs="宋体"/>
          <w:szCs w:val="21"/>
        </w:rPr>
      </w:pPr>
      <w:r>
        <w:rPr>
          <w:rFonts w:hint="eastAsia" w:ascii="宋体" w:hAnsi="宋体" w:cs="宋体"/>
          <w:szCs w:val="21"/>
        </w:rPr>
        <w:t xml:space="preserve">     2017年度第三次全国农业普查所需经费共计155.00万元，明细如下：</w:t>
      </w:r>
    </w:p>
    <w:p>
      <w:pPr>
        <w:spacing w:line="360" w:lineRule="auto"/>
        <w:ind w:firstLine="420" w:firstLineChars="200"/>
        <w:rPr>
          <w:rFonts w:ascii="宋体" w:hAnsi="宋体" w:cs="宋体"/>
          <w:szCs w:val="21"/>
        </w:rPr>
      </w:pPr>
      <w:r>
        <w:rPr>
          <w:rFonts w:hint="eastAsia" w:ascii="宋体" w:hAnsi="宋体" w:cs="宋体"/>
          <w:szCs w:val="21"/>
        </w:rPr>
        <w:t xml:space="preserve">  1、宣传费：5.00万元（其他）</w:t>
      </w:r>
    </w:p>
    <w:p>
      <w:pPr>
        <w:spacing w:line="360" w:lineRule="auto"/>
        <w:ind w:firstLine="420" w:firstLineChars="200"/>
        <w:rPr>
          <w:rFonts w:ascii="宋体" w:hAnsi="宋体" w:cs="宋体"/>
          <w:szCs w:val="21"/>
        </w:rPr>
      </w:pPr>
      <w:r>
        <w:rPr>
          <w:rFonts w:hint="eastAsia" w:ascii="宋体" w:hAnsi="宋体" w:cs="宋体"/>
          <w:szCs w:val="21"/>
        </w:rPr>
        <w:t xml:space="preserve">    2017年1月份是第三次全国农业普查第二个宣传月，将按宣传计划，全面启动宣传工作。</w:t>
      </w:r>
    </w:p>
    <w:p>
      <w:pPr>
        <w:spacing w:line="360" w:lineRule="auto"/>
        <w:ind w:firstLine="420" w:firstLineChars="200"/>
        <w:rPr>
          <w:rFonts w:ascii="宋体" w:hAnsi="宋体" w:cs="宋体"/>
          <w:szCs w:val="21"/>
        </w:rPr>
      </w:pPr>
      <w:r>
        <w:rPr>
          <w:rFonts w:hint="eastAsia" w:ascii="宋体" w:hAnsi="宋体" w:cs="宋体"/>
          <w:szCs w:val="21"/>
        </w:rPr>
        <w:t xml:space="preserve">  2、会议费：19.68万元</w:t>
      </w:r>
    </w:p>
    <w:p>
      <w:pPr>
        <w:spacing w:line="360" w:lineRule="auto"/>
        <w:ind w:firstLine="420" w:firstLineChars="200"/>
        <w:rPr>
          <w:rFonts w:ascii="宋体" w:hAnsi="宋体" w:cs="宋体"/>
          <w:szCs w:val="21"/>
        </w:rPr>
      </w:pPr>
      <w:r>
        <w:rPr>
          <w:rFonts w:hint="eastAsia" w:ascii="宋体" w:hAnsi="宋体" w:cs="宋体"/>
          <w:szCs w:val="21"/>
        </w:rPr>
        <w:t xml:space="preserve">  （1）汇报会议、座谈会等2次，会期2天，人数平均70人</w:t>
      </w:r>
    </w:p>
    <w:p>
      <w:pPr>
        <w:spacing w:line="360" w:lineRule="auto"/>
        <w:ind w:firstLine="420" w:firstLineChars="200"/>
        <w:rPr>
          <w:rFonts w:ascii="宋体" w:hAnsi="宋体" w:cs="宋体"/>
          <w:szCs w:val="21"/>
        </w:rPr>
      </w:pPr>
      <w:r>
        <w:rPr>
          <w:rFonts w:hint="eastAsia" w:ascii="宋体" w:hAnsi="宋体" w:cs="宋体"/>
          <w:szCs w:val="21"/>
        </w:rPr>
        <w:t xml:space="preserve">    70人×2天×4次×180元=10.08万元。</w:t>
      </w:r>
    </w:p>
    <w:p>
      <w:pPr>
        <w:spacing w:line="360" w:lineRule="auto"/>
        <w:ind w:firstLine="420" w:firstLineChars="200"/>
        <w:rPr>
          <w:rFonts w:ascii="宋体" w:hAnsi="宋体" w:cs="宋体"/>
          <w:szCs w:val="21"/>
        </w:rPr>
      </w:pPr>
      <w:r>
        <w:rPr>
          <w:rFonts w:hint="eastAsia" w:ascii="宋体" w:hAnsi="宋体" w:cs="宋体"/>
          <w:szCs w:val="21"/>
        </w:rPr>
        <w:t xml:space="preserve">  （2）现场调度会议1次，会期1天，人数平均70人</w:t>
      </w:r>
    </w:p>
    <w:p>
      <w:pPr>
        <w:spacing w:line="360" w:lineRule="auto"/>
        <w:ind w:firstLine="420" w:firstLineChars="200"/>
        <w:rPr>
          <w:rFonts w:ascii="宋体" w:hAnsi="宋体" w:cs="宋体"/>
          <w:szCs w:val="21"/>
        </w:rPr>
      </w:pPr>
      <w:r>
        <w:rPr>
          <w:rFonts w:hint="eastAsia" w:ascii="宋体" w:hAnsi="宋体" w:cs="宋体"/>
          <w:szCs w:val="21"/>
        </w:rPr>
        <w:t xml:space="preserve">    70人×1次×1天×300元=2.10万元。</w:t>
      </w:r>
    </w:p>
    <w:p>
      <w:pPr>
        <w:spacing w:line="360" w:lineRule="auto"/>
        <w:ind w:firstLine="420" w:firstLineChars="200"/>
        <w:rPr>
          <w:rFonts w:ascii="宋体" w:hAnsi="宋体" w:cs="宋体"/>
          <w:szCs w:val="21"/>
        </w:rPr>
      </w:pPr>
      <w:r>
        <w:rPr>
          <w:rFonts w:hint="eastAsia" w:ascii="宋体" w:hAnsi="宋体" w:cs="宋体"/>
          <w:szCs w:val="21"/>
        </w:rPr>
        <w:t xml:space="preserve">   （3）数据评估会议</w:t>
      </w:r>
    </w:p>
    <w:p>
      <w:pPr>
        <w:spacing w:line="360" w:lineRule="auto"/>
        <w:ind w:firstLine="420" w:firstLineChars="200"/>
        <w:rPr>
          <w:rFonts w:ascii="宋体" w:hAnsi="宋体" w:cs="宋体"/>
          <w:szCs w:val="21"/>
        </w:rPr>
      </w:pPr>
      <w:r>
        <w:rPr>
          <w:rFonts w:hint="eastAsia" w:ascii="宋体" w:hAnsi="宋体" w:cs="宋体"/>
          <w:szCs w:val="21"/>
        </w:rPr>
        <w:t xml:space="preserve">    50人×2天×300元=3.00万元。</w:t>
      </w:r>
    </w:p>
    <w:p>
      <w:pPr>
        <w:spacing w:line="360" w:lineRule="auto"/>
        <w:ind w:firstLine="420" w:firstLineChars="200"/>
        <w:rPr>
          <w:rFonts w:ascii="宋体" w:hAnsi="宋体" w:cs="宋体"/>
          <w:szCs w:val="21"/>
        </w:rPr>
      </w:pPr>
      <w:r>
        <w:rPr>
          <w:rFonts w:hint="eastAsia" w:ascii="宋体" w:hAnsi="宋体" w:cs="宋体"/>
          <w:szCs w:val="21"/>
        </w:rPr>
        <w:t xml:space="preserve">  （4）阶段性会议：工作会议、汇报会、督导会3次，座谈会1次、现场调度会议2次，会期1天，人数平均80人。 60人*6次*1天*125元=4.5万元。</w:t>
      </w:r>
    </w:p>
    <w:p>
      <w:pPr>
        <w:spacing w:line="360" w:lineRule="auto"/>
        <w:ind w:firstLine="420" w:firstLineChars="200"/>
        <w:rPr>
          <w:rFonts w:ascii="宋体" w:hAnsi="宋体" w:cs="宋体"/>
          <w:szCs w:val="21"/>
        </w:rPr>
      </w:pPr>
      <w:r>
        <w:rPr>
          <w:rFonts w:hint="eastAsia" w:ascii="宋体" w:hAnsi="宋体" w:cs="宋体"/>
          <w:szCs w:val="21"/>
        </w:rPr>
        <w:t xml:space="preserve">    3、培训会：19.00万元</w:t>
      </w:r>
    </w:p>
    <w:p>
      <w:pPr>
        <w:spacing w:line="360" w:lineRule="auto"/>
        <w:ind w:firstLine="420" w:firstLineChars="200"/>
        <w:rPr>
          <w:rFonts w:ascii="宋体" w:hAnsi="宋体" w:cs="宋体"/>
          <w:szCs w:val="21"/>
        </w:rPr>
      </w:pPr>
      <w:r>
        <w:rPr>
          <w:rFonts w:hint="eastAsia" w:ascii="宋体" w:hAnsi="宋体" w:cs="宋体"/>
          <w:szCs w:val="21"/>
        </w:rPr>
        <w:t xml:space="preserve">    （1）行业、职业编码培训，每个县区5人，市10人，会期3天。</w:t>
      </w:r>
    </w:p>
    <w:p>
      <w:pPr>
        <w:spacing w:line="360" w:lineRule="auto"/>
        <w:ind w:firstLine="420" w:firstLineChars="200"/>
        <w:rPr>
          <w:rFonts w:ascii="宋体" w:hAnsi="宋体" w:cs="宋体"/>
          <w:szCs w:val="21"/>
        </w:rPr>
      </w:pPr>
      <w:r>
        <w:rPr>
          <w:rFonts w:hint="eastAsia" w:ascii="宋体" w:hAnsi="宋体" w:cs="宋体"/>
          <w:szCs w:val="21"/>
        </w:rPr>
        <w:t xml:space="preserve">    100人×3天×300元=9.00万元。</w:t>
      </w:r>
    </w:p>
    <w:p>
      <w:pPr>
        <w:spacing w:line="360" w:lineRule="auto"/>
        <w:ind w:firstLine="420" w:firstLineChars="200"/>
        <w:rPr>
          <w:rFonts w:ascii="宋体" w:hAnsi="宋体" w:cs="宋体"/>
          <w:szCs w:val="21"/>
        </w:rPr>
      </w:pPr>
      <w:r>
        <w:rPr>
          <w:rFonts w:hint="eastAsia" w:ascii="宋体" w:hAnsi="宋体" w:cs="宋体"/>
          <w:szCs w:val="21"/>
        </w:rPr>
        <w:t xml:space="preserve">   （2）住宿餐饮费 100人*4天*250元=10.00万元。</w:t>
      </w:r>
    </w:p>
    <w:p>
      <w:pPr>
        <w:spacing w:line="360" w:lineRule="auto"/>
        <w:ind w:firstLine="420" w:firstLineChars="200"/>
        <w:rPr>
          <w:rFonts w:ascii="宋体" w:hAnsi="宋体" w:cs="宋体"/>
          <w:szCs w:val="21"/>
        </w:rPr>
      </w:pPr>
      <w:r>
        <w:rPr>
          <w:rFonts w:hint="eastAsia" w:ascii="宋体" w:hAnsi="宋体" w:cs="宋体"/>
          <w:szCs w:val="21"/>
        </w:rPr>
        <w:t xml:space="preserve">    4、印刷费：47.91万元</w:t>
      </w:r>
    </w:p>
    <w:p>
      <w:pPr>
        <w:spacing w:line="360" w:lineRule="auto"/>
        <w:ind w:firstLine="420" w:firstLineChars="200"/>
        <w:rPr>
          <w:rFonts w:ascii="宋体" w:hAnsi="宋体" w:cs="宋体"/>
          <w:szCs w:val="21"/>
        </w:rPr>
      </w:pPr>
      <w:r>
        <w:rPr>
          <w:rFonts w:hint="eastAsia" w:ascii="宋体" w:hAnsi="宋体" w:cs="宋体"/>
          <w:szCs w:val="21"/>
        </w:rPr>
        <w:t xml:space="preserve">   （1）数据处理手册印刷费</w:t>
      </w:r>
    </w:p>
    <w:p>
      <w:pPr>
        <w:spacing w:line="360" w:lineRule="auto"/>
        <w:ind w:firstLine="420" w:firstLineChars="200"/>
        <w:rPr>
          <w:rFonts w:ascii="宋体" w:hAnsi="宋体" w:cs="宋体"/>
          <w:szCs w:val="21"/>
        </w:rPr>
      </w:pPr>
      <w:r>
        <w:rPr>
          <w:rFonts w:hint="eastAsia" w:ascii="宋体" w:hAnsi="宋体" w:cs="宋体"/>
          <w:szCs w:val="21"/>
        </w:rPr>
        <w:t>　　第三次全国农业普查数据采集、传输采用PDA，需印刷数据处理手册</w:t>
      </w:r>
    </w:p>
    <w:p>
      <w:pPr>
        <w:spacing w:line="360" w:lineRule="auto"/>
        <w:ind w:firstLine="420" w:firstLineChars="200"/>
        <w:rPr>
          <w:rFonts w:ascii="宋体" w:hAnsi="宋体" w:cs="宋体"/>
          <w:szCs w:val="21"/>
        </w:rPr>
      </w:pPr>
      <w:r>
        <w:rPr>
          <w:rFonts w:hint="eastAsia" w:ascii="宋体" w:hAnsi="宋体" w:cs="宋体"/>
          <w:szCs w:val="21"/>
        </w:rPr>
        <w:t>　　(8200个小区+187乡镇×10人+18县市区×15人）×10元=10.34万元。</w:t>
      </w:r>
    </w:p>
    <w:p>
      <w:pPr>
        <w:spacing w:line="360" w:lineRule="auto"/>
        <w:ind w:firstLine="420" w:firstLineChars="200"/>
        <w:rPr>
          <w:rFonts w:ascii="宋体" w:hAnsi="宋体" w:cs="宋体"/>
          <w:szCs w:val="21"/>
        </w:rPr>
      </w:pPr>
      <w:r>
        <w:rPr>
          <w:rFonts w:hint="eastAsia" w:ascii="宋体" w:hAnsi="宋体" w:cs="宋体"/>
          <w:szCs w:val="21"/>
        </w:rPr>
        <w:t xml:space="preserve">   （2）普查实施方案印刷费</w:t>
      </w:r>
    </w:p>
    <w:p>
      <w:pPr>
        <w:spacing w:line="360" w:lineRule="auto"/>
        <w:ind w:firstLine="420" w:firstLineChars="200"/>
        <w:rPr>
          <w:rFonts w:ascii="宋体" w:hAnsi="宋体" w:cs="宋体"/>
          <w:szCs w:val="21"/>
        </w:rPr>
      </w:pPr>
      <w:r>
        <w:rPr>
          <w:rFonts w:hint="eastAsia" w:ascii="宋体" w:hAnsi="宋体" w:cs="宋体"/>
          <w:szCs w:val="21"/>
        </w:rPr>
        <w:t>　　每个普查小区一本8200本，每个乡镇10本1870本，每个县区15本270本。</w:t>
      </w:r>
    </w:p>
    <w:p>
      <w:pPr>
        <w:spacing w:line="360" w:lineRule="auto"/>
        <w:ind w:firstLine="420" w:firstLineChars="200"/>
        <w:rPr>
          <w:rFonts w:ascii="宋体" w:hAnsi="宋体" w:cs="宋体"/>
          <w:szCs w:val="21"/>
        </w:rPr>
      </w:pPr>
      <w:r>
        <w:rPr>
          <w:rFonts w:hint="eastAsia" w:ascii="宋体" w:hAnsi="宋体" w:cs="宋体"/>
          <w:szCs w:val="21"/>
        </w:rPr>
        <w:t>　　10340本×8元=8.27万元</w:t>
      </w:r>
    </w:p>
    <w:p>
      <w:pPr>
        <w:spacing w:line="360" w:lineRule="auto"/>
        <w:ind w:firstLine="420" w:firstLineChars="200"/>
        <w:rPr>
          <w:rFonts w:ascii="宋体" w:hAnsi="宋体" w:cs="宋体"/>
          <w:szCs w:val="21"/>
        </w:rPr>
      </w:pPr>
      <w:r>
        <w:rPr>
          <w:rFonts w:hint="eastAsia" w:ascii="宋体" w:hAnsi="宋体" w:cs="宋体"/>
          <w:szCs w:val="21"/>
        </w:rPr>
        <w:t xml:space="preserve">   （3）事后质量抽查对比表，抽查比例总调查单位1/3</w:t>
      </w:r>
    </w:p>
    <w:p>
      <w:pPr>
        <w:spacing w:line="360" w:lineRule="auto"/>
        <w:ind w:firstLine="420" w:firstLineChars="200"/>
        <w:rPr>
          <w:rFonts w:ascii="宋体" w:hAnsi="宋体" w:cs="宋体"/>
          <w:szCs w:val="21"/>
        </w:rPr>
      </w:pPr>
      <w:r>
        <w:rPr>
          <w:rFonts w:hint="eastAsia" w:ascii="宋体" w:hAnsi="宋体" w:cs="宋体"/>
          <w:szCs w:val="21"/>
        </w:rPr>
        <w:t>14万张×0.23元=3.2万元。</w:t>
      </w:r>
    </w:p>
    <w:p>
      <w:pPr>
        <w:spacing w:line="360" w:lineRule="auto"/>
        <w:ind w:firstLine="420" w:firstLineChars="200"/>
        <w:rPr>
          <w:rFonts w:ascii="宋体" w:hAnsi="宋体" w:cs="宋体"/>
          <w:szCs w:val="21"/>
        </w:rPr>
      </w:pPr>
      <w:r>
        <w:rPr>
          <w:rFonts w:hint="eastAsia" w:ascii="宋体" w:hAnsi="宋体" w:cs="宋体"/>
          <w:szCs w:val="21"/>
        </w:rPr>
        <w:t xml:space="preserve">   （4）工作手册：发给普查员和被调查单位人员</w:t>
      </w:r>
    </w:p>
    <w:p>
      <w:pPr>
        <w:spacing w:line="360" w:lineRule="auto"/>
        <w:ind w:firstLine="420" w:firstLineChars="200"/>
        <w:rPr>
          <w:rFonts w:ascii="宋体" w:hAnsi="宋体" w:cs="宋体"/>
          <w:szCs w:val="21"/>
        </w:rPr>
      </w:pPr>
      <w:r>
        <w:rPr>
          <w:rFonts w:hint="eastAsia" w:ascii="宋体" w:hAnsi="宋体" w:cs="宋体"/>
          <w:szCs w:val="21"/>
        </w:rPr>
        <w:t xml:space="preserve">    （8200个小区+1500个单位）×10元=9.7万元。</w:t>
      </w:r>
    </w:p>
    <w:p>
      <w:pPr>
        <w:spacing w:line="360" w:lineRule="auto"/>
        <w:ind w:firstLine="420" w:firstLineChars="200"/>
        <w:rPr>
          <w:rFonts w:ascii="宋体" w:hAnsi="宋体" w:cs="宋体"/>
          <w:szCs w:val="21"/>
        </w:rPr>
      </w:pPr>
      <w:r>
        <w:rPr>
          <w:rFonts w:hint="eastAsia" w:ascii="宋体" w:hAnsi="宋体" w:cs="宋体"/>
          <w:szCs w:val="21"/>
        </w:rPr>
        <w:t xml:space="preserve">   （5）致被调查户、农业法人单位和产业活动单位、农业经营规模户和乡（镇）、村单位的公开信印刷费</w:t>
      </w:r>
    </w:p>
    <w:p>
      <w:pPr>
        <w:spacing w:line="360" w:lineRule="auto"/>
        <w:ind w:firstLine="420" w:firstLineChars="200"/>
        <w:rPr>
          <w:rFonts w:ascii="宋体" w:hAnsi="宋体" w:cs="宋体"/>
          <w:szCs w:val="21"/>
        </w:rPr>
      </w:pPr>
      <w:r>
        <w:rPr>
          <w:rFonts w:hint="eastAsia" w:ascii="宋体" w:hAnsi="宋体" w:cs="宋体"/>
          <w:szCs w:val="21"/>
        </w:rPr>
        <w:t>164万张（农户、规模户、单位）×0.1元=16.4万元</w:t>
      </w:r>
    </w:p>
    <w:p>
      <w:pPr>
        <w:spacing w:line="360" w:lineRule="auto"/>
        <w:ind w:firstLine="420" w:firstLineChars="200"/>
        <w:rPr>
          <w:rFonts w:ascii="宋体" w:hAnsi="宋体" w:cs="宋体"/>
          <w:szCs w:val="21"/>
        </w:rPr>
      </w:pPr>
      <w:r>
        <w:rPr>
          <w:rFonts w:hint="eastAsia" w:ascii="宋体" w:hAnsi="宋体" w:cs="宋体"/>
          <w:szCs w:val="21"/>
        </w:rPr>
        <w:t>5、数据处理费：8.77万元（办公费），用于购买耗材打印纸、复印纸</w:t>
      </w:r>
    </w:p>
    <w:p>
      <w:pPr>
        <w:spacing w:line="360" w:lineRule="auto"/>
        <w:ind w:firstLine="420" w:firstLineChars="200"/>
        <w:rPr>
          <w:rFonts w:ascii="宋体" w:hAnsi="宋体" w:cs="宋体"/>
          <w:szCs w:val="21"/>
        </w:rPr>
      </w:pPr>
      <w:r>
        <w:rPr>
          <w:rFonts w:hint="eastAsia" w:ascii="宋体" w:hAnsi="宋体" w:cs="宋体"/>
          <w:szCs w:val="21"/>
        </w:rPr>
        <w:t>6、差旅费：9.00万元（普查人员省、县外地差旅费）。</w:t>
      </w:r>
    </w:p>
    <w:p>
      <w:pPr>
        <w:spacing w:line="360" w:lineRule="auto"/>
        <w:ind w:firstLine="420" w:firstLineChars="200"/>
        <w:rPr>
          <w:rFonts w:ascii="宋体" w:hAnsi="宋体" w:cs="宋体"/>
          <w:szCs w:val="21"/>
        </w:rPr>
      </w:pPr>
      <w:r>
        <w:rPr>
          <w:rFonts w:hint="eastAsia" w:ascii="宋体" w:hAnsi="宋体" w:cs="宋体"/>
          <w:szCs w:val="21"/>
        </w:rPr>
        <w:t>7、交通费：4.00万元。</w:t>
      </w:r>
    </w:p>
    <w:p>
      <w:pPr>
        <w:spacing w:line="360" w:lineRule="auto"/>
        <w:ind w:firstLine="420" w:firstLineChars="200"/>
        <w:rPr>
          <w:rFonts w:ascii="宋体" w:hAnsi="宋体" w:cs="宋体"/>
          <w:szCs w:val="21"/>
        </w:rPr>
      </w:pPr>
      <w:r>
        <w:rPr>
          <w:rFonts w:hint="eastAsia" w:ascii="宋体" w:hAnsi="宋体" w:cs="宋体"/>
          <w:szCs w:val="21"/>
        </w:rPr>
        <w:t>8、邮电费：2.07万元。</w:t>
      </w:r>
    </w:p>
    <w:p>
      <w:pPr>
        <w:spacing w:line="360" w:lineRule="auto"/>
        <w:ind w:firstLine="420" w:firstLineChars="200"/>
        <w:rPr>
          <w:rFonts w:ascii="宋体" w:hAnsi="宋体" w:cs="宋体"/>
          <w:szCs w:val="21"/>
        </w:rPr>
      </w:pPr>
      <w:r>
        <w:rPr>
          <w:rFonts w:hint="eastAsia" w:ascii="宋体" w:hAnsi="宋体" w:cs="宋体"/>
          <w:szCs w:val="21"/>
        </w:rPr>
        <w:t>9、事后质量抽查费：21.75万元</w:t>
      </w:r>
    </w:p>
    <w:p>
      <w:pPr>
        <w:spacing w:line="360" w:lineRule="auto"/>
        <w:ind w:firstLine="420" w:firstLineChars="200"/>
        <w:rPr>
          <w:rFonts w:ascii="宋体" w:hAnsi="宋体" w:cs="宋体"/>
          <w:szCs w:val="21"/>
        </w:rPr>
      </w:pPr>
      <w:r>
        <w:rPr>
          <w:rFonts w:hint="eastAsia" w:ascii="宋体" w:hAnsi="宋体" w:cs="宋体"/>
          <w:szCs w:val="21"/>
        </w:rPr>
        <w:t>（1）全市抽调35人，工作时限7天，35人×7天×300元=7.35万元</w:t>
      </w:r>
    </w:p>
    <w:p>
      <w:pPr>
        <w:spacing w:line="360" w:lineRule="auto"/>
        <w:ind w:firstLine="420" w:firstLineChars="200"/>
        <w:rPr>
          <w:rFonts w:ascii="宋体" w:hAnsi="宋体" w:cs="宋体"/>
          <w:szCs w:val="21"/>
        </w:rPr>
      </w:pPr>
      <w:r>
        <w:rPr>
          <w:rFonts w:hint="eastAsia" w:ascii="宋体" w:hAnsi="宋体" w:cs="宋体"/>
          <w:szCs w:val="21"/>
        </w:rPr>
        <w:t>（2）临时工作人员工资14.40万元，8人×1500元×12月=14.40万元。</w:t>
      </w:r>
    </w:p>
    <w:p>
      <w:pPr>
        <w:spacing w:line="360" w:lineRule="auto"/>
        <w:ind w:firstLine="420" w:firstLineChars="200"/>
        <w:rPr>
          <w:rFonts w:ascii="宋体" w:hAnsi="宋体" w:cs="宋体"/>
          <w:szCs w:val="21"/>
        </w:rPr>
      </w:pPr>
      <w:r>
        <w:rPr>
          <w:rFonts w:hint="eastAsia" w:ascii="宋体" w:hAnsi="宋体" w:cs="宋体"/>
          <w:szCs w:val="21"/>
        </w:rPr>
        <w:t>10、办公设备购置17.82万元</w:t>
      </w:r>
    </w:p>
    <w:p>
      <w:pPr>
        <w:spacing w:line="360" w:lineRule="auto"/>
        <w:ind w:firstLine="420" w:firstLineChars="200"/>
        <w:rPr>
          <w:rFonts w:ascii="宋体" w:hAnsi="宋体" w:cs="宋体"/>
          <w:szCs w:val="21"/>
        </w:rPr>
      </w:pPr>
      <w:r>
        <w:rPr>
          <w:rFonts w:hint="eastAsia" w:ascii="宋体" w:hAnsi="宋体" w:cs="宋体"/>
          <w:szCs w:val="21"/>
        </w:rPr>
        <w:t>（1）深信服防火墙1台5万</w:t>
      </w:r>
    </w:p>
    <w:p>
      <w:pPr>
        <w:spacing w:line="360" w:lineRule="auto"/>
        <w:ind w:firstLine="420" w:firstLineChars="200"/>
        <w:rPr>
          <w:rFonts w:ascii="宋体" w:hAnsi="宋体" w:cs="宋体"/>
          <w:szCs w:val="21"/>
        </w:rPr>
      </w:pPr>
      <w:r>
        <w:rPr>
          <w:rFonts w:hint="eastAsia" w:ascii="宋体" w:hAnsi="宋体" w:cs="宋体"/>
          <w:szCs w:val="21"/>
        </w:rPr>
        <w:t>（2）联想台式计算机18台单价0.5万元， 18台×5000元=9万元</w:t>
      </w:r>
    </w:p>
    <w:p>
      <w:pPr>
        <w:spacing w:line="360" w:lineRule="auto"/>
        <w:ind w:firstLine="420" w:firstLineChars="200"/>
        <w:rPr>
          <w:rFonts w:ascii="宋体" w:hAnsi="宋体" w:cs="宋体"/>
          <w:szCs w:val="21"/>
        </w:rPr>
      </w:pPr>
      <w:r>
        <w:rPr>
          <w:rFonts w:hint="eastAsia" w:ascii="宋体" w:hAnsi="宋体" w:cs="宋体"/>
          <w:szCs w:val="21"/>
        </w:rPr>
        <w:t>（3）惠普打印机6台单价0.17万元， 6台×1700元=1.02万元</w:t>
      </w:r>
    </w:p>
    <w:p>
      <w:pPr>
        <w:spacing w:line="360" w:lineRule="auto"/>
        <w:ind w:firstLine="420" w:firstLineChars="200"/>
      </w:pPr>
      <w:r>
        <w:rPr>
          <w:rFonts w:hint="eastAsia" w:ascii="宋体" w:hAnsi="宋体" w:cs="宋体"/>
          <w:szCs w:val="21"/>
        </w:rPr>
        <w:t>（4）格力空调10台单价0.28万元，10台×2800元=2.8万</w:t>
      </w:r>
    </w:p>
    <w:p>
      <w:pPr>
        <w:spacing w:line="360" w:lineRule="auto"/>
        <w:jc w:val="left"/>
        <w:sectPr>
          <w:pgSz w:w="11906" w:h="16838"/>
          <w:pgMar w:top="1440" w:right="1800" w:bottom="1440" w:left="1800" w:header="851" w:footer="992" w:gutter="0"/>
          <w:cols w:space="720" w:num="1"/>
          <w:docGrid w:type="lines" w:linePitch="312"/>
        </w:sectPr>
      </w:pPr>
    </w:p>
    <w:p>
      <w:pPr>
        <w:spacing w:line="360" w:lineRule="auto"/>
        <w:jc w:val="left"/>
        <w:rPr>
          <w:rFonts w:ascii="宋体" w:hAnsi="宋体"/>
          <w:b/>
          <w:color w:val="000000"/>
          <w:sz w:val="44"/>
        </w:rPr>
      </w:pPr>
    </w:p>
    <w:p>
      <w:pPr>
        <w:spacing w:line="360" w:lineRule="auto"/>
        <w:jc w:val="left"/>
        <w:rPr>
          <w:rFonts w:ascii="宋体" w:hAnsi="宋体"/>
          <w:b/>
          <w:color w:val="000000"/>
          <w:sz w:val="44"/>
        </w:rPr>
      </w:pPr>
    </w:p>
    <w:p>
      <w:pPr>
        <w:spacing w:line="360" w:lineRule="auto"/>
        <w:jc w:val="left"/>
        <w:rPr>
          <w:rFonts w:ascii="宋体" w:hAnsi="宋体"/>
          <w:b/>
          <w:color w:val="000000"/>
          <w:sz w:val="44"/>
        </w:rPr>
      </w:pPr>
    </w:p>
    <w:p>
      <w:pPr>
        <w:spacing w:line="360" w:lineRule="auto"/>
        <w:jc w:val="left"/>
        <w:rPr>
          <w:rFonts w:ascii="宋体" w:hAnsi="宋体"/>
          <w:b/>
          <w:color w:val="000000"/>
          <w:sz w:val="44"/>
        </w:rPr>
      </w:pPr>
    </w:p>
    <w:p>
      <w:pPr>
        <w:pStyle w:val="2"/>
        <w:jc w:val="center"/>
        <w:sectPr>
          <w:pgSz w:w="11906" w:h="16838"/>
          <w:pgMar w:top="1440" w:right="1800" w:bottom="1440" w:left="1800" w:header="851" w:footer="992" w:gutter="0"/>
          <w:cols w:space="720" w:num="1"/>
          <w:docGrid w:type="lines" w:linePitch="312"/>
        </w:sectPr>
      </w:pPr>
      <w:bookmarkStart w:id="17" w:name="_Toc476153815"/>
      <w:r>
        <w:t>三、唐山市统计局数据管理中心收支预算安排</w:t>
      </w:r>
      <w:bookmarkEnd w:id="17"/>
    </w:p>
    <w:p>
      <w:pPr>
        <w:jc w:val="center"/>
        <w:rPr>
          <w:rFonts w:ascii="宋体" w:hAnsi="宋体"/>
          <w:b/>
          <w:color w:val="000000"/>
          <w:sz w:val="44"/>
        </w:rPr>
      </w:pPr>
      <w:r>
        <w:rPr>
          <w:rFonts w:hint="eastAsia" w:ascii="宋体" w:hAnsi="宋体"/>
          <w:b/>
          <w:color w:val="000000"/>
          <w:sz w:val="44"/>
        </w:rPr>
        <w:t>唐山市统计局数据管理中心职责任务与目标</w:t>
      </w:r>
    </w:p>
    <w:p>
      <w:pPr>
        <w:spacing w:line="480" w:lineRule="auto"/>
        <w:jc w:val="left"/>
        <w:rPr>
          <w:rFonts w:ascii="宋体" w:hAnsi="宋体"/>
          <w:b/>
          <w:color w:val="000000"/>
          <w:sz w:val="28"/>
        </w:rPr>
      </w:pPr>
      <w:r>
        <w:rPr>
          <w:rFonts w:ascii="宋体" w:hAnsi="宋体"/>
          <w:b/>
          <w:color w:val="000000"/>
          <w:sz w:val="28"/>
        </w:rPr>
        <w:t>一、主要职责</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hint="eastAsia" w:ascii="宋体" w:hAnsi="宋体" w:cs="宋体"/>
          <w:kern w:val="0"/>
          <w:szCs w:val="21"/>
        </w:rPr>
        <w:t>主要职能：负责全局计算机设备的硬件维护、软件设计、技术指导和消耗用品的管理；担负全市各种大型清查、普查、调查的计算机处理工作；为全市统计部门计算机应用进行技术指导和培训；负责全市统计数据传输和网络建设、安全、维护等技术性工作；负责统计数据库的建立、维护和使用；负责市统计信息网站的建设和信息发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pPr>
      <w:r>
        <w:rPr>
          <w:rFonts w:hint="eastAsia" w:ascii="宋体" w:hAnsi="宋体" w:cs="宋体"/>
          <w:kern w:val="0"/>
          <w:szCs w:val="21"/>
        </w:rPr>
        <w:t>其他情况：唐山市统计局计算站为唐山市统计局所属事业单位，属技术服务类事业单位。目前能较好的履行所担负的职能任务，无职能不能正常运转的情况。</w:t>
      </w:r>
    </w:p>
    <w:p>
      <w:pPr>
        <w:spacing w:line="480" w:lineRule="auto"/>
        <w:jc w:val="left"/>
        <w:rPr>
          <w:rFonts w:ascii="宋体" w:hAnsi="宋体"/>
          <w:b/>
          <w:color w:val="000000"/>
          <w:sz w:val="28"/>
        </w:rPr>
      </w:pPr>
      <w:r>
        <w:rPr>
          <w:rFonts w:ascii="宋体" w:hAnsi="宋体"/>
          <w:b/>
          <w:color w:val="000000"/>
          <w:sz w:val="28"/>
        </w:rPr>
        <w:t>二、主要任务及目标规划</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Times New Roman" w:hAnsi="Times New Roman"/>
          <w:b/>
          <w:bCs/>
          <w:kern w:val="0"/>
          <w:szCs w:val="21"/>
        </w:rPr>
      </w:pPr>
      <w:r>
        <w:rPr>
          <w:rFonts w:hint="eastAsia" w:ascii="宋体" w:hAnsi="宋体" w:cs="宋体"/>
          <w:b/>
          <w:bCs/>
          <w:kern w:val="0"/>
          <w:szCs w:val="21"/>
        </w:rPr>
        <w:t>唐山市统计局数据管理中心任务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Times New Roman" w:hAnsi="Times New Roman"/>
          <w:kern w:val="0"/>
          <w:szCs w:val="21"/>
        </w:rPr>
      </w:pPr>
      <w:r>
        <w:rPr>
          <w:rFonts w:ascii="宋体" w:hAnsi="Times New Roman" w:cs="宋体"/>
          <w:kern w:val="0"/>
          <w:szCs w:val="21"/>
        </w:rPr>
        <w:t>1</w:t>
      </w:r>
      <w:r>
        <w:rPr>
          <w:rFonts w:hint="eastAsia" w:ascii="宋体" w:hAnsi="Times New Roman" w:cs="宋体"/>
          <w:kern w:val="0"/>
          <w:szCs w:val="21"/>
        </w:rPr>
        <w:t>、</w:t>
      </w:r>
      <w:r>
        <w:rPr>
          <w:rFonts w:hint="eastAsia" w:ascii="宋体" w:hAnsi="宋体" w:cs="宋体"/>
          <w:kern w:val="0"/>
          <w:szCs w:val="21"/>
        </w:rPr>
        <w:t>负责全局计算机设备的硬件维护、软件设计、技术指导和消耗用品的管理；担负全市各种大型清查、普查、调查的计算机处理工作；为全市统计部门计算机应用进行技术指导和培训；负责全市统计数据传输和网络建设、安全、维护等技术性工作；负责统计数据库的建立、维护和使用；负责市统计信息网站的建设和信息发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宋体"/>
          <w:kern w:val="0"/>
          <w:szCs w:val="21"/>
        </w:rPr>
      </w:pPr>
      <w:r>
        <w:rPr>
          <w:rFonts w:ascii="宋体" w:hAnsi="Times New Roman" w:cs="宋体"/>
          <w:kern w:val="0"/>
          <w:szCs w:val="21"/>
        </w:rPr>
        <w:t>2</w:t>
      </w:r>
      <w:r>
        <w:rPr>
          <w:rFonts w:hint="eastAsia" w:ascii="宋体" w:hAnsi="Times New Roman" w:cs="宋体"/>
          <w:kern w:val="0"/>
          <w:szCs w:val="21"/>
        </w:rPr>
        <w:t>、</w:t>
      </w:r>
      <w:r>
        <w:rPr>
          <w:rFonts w:hint="eastAsia" w:ascii="宋体" w:hAnsi="宋体" w:cs="宋体"/>
          <w:kern w:val="0"/>
          <w:szCs w:val="21"/>
        </w:rPr>
        <w:t>唐山市统计局计算站为唐山市统计局所属事业单位，属技术服务类事业单位。目前能较好的履行所担负的职能任务，无职能不能正常运转的情况。</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（1）建立责任化的数据控制体系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宋体"/>
          <w:color w:val="000000"/>
          <w:kern w:val="0"/>
          <w:szCs w:val="21"/>
        </w:rPr>
      </w:pPr>
      <w:r>
        <w:rPr>
          <w:rFonts w:hint="eastAsia" w:ascii="宋体" w:hAnsi="宋体" w:cs="宋体"/>
          <w:b/>
          <w:bCs/>
          <w:kern w:val="0"/>
          <w:szCs w:val="21"/>
        </w:rPr>
        <w:t>①实行数据质量层层负责制。</w:t>
      </w:r>
      <w:r>
        <w:rPr>
          <w:rFonts w:hint="eastAsia" w:ascii="宋体" w:hAnsi="宋体" w:cs="宋体"/>
          <w:kern w:val="0"/>
          <w:szCs w:val="21"/>
        </w:rPr>
        <w:t>发挥“企业一套表”责任明确的优势，不断提高数据质量作为统计部门的第一职责，</w:t>
      </w:r>
      <w:r>
        <w:rPr>
          <w:rFonts w:hint="eastAsia" w:ascii="宋体" w:hAnsi="宋体" w:cs="宋体"/>
          <w:color w:val="000000"/>
          <w:kern w:val="0"/>
          <w:szCs w:val="21"/>
        </w:rPr>
        <w:t>在市、县、乡统计部门和企业层层明确统数、报数、审数各环节责任，实行数据质量终身负责制。</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宋体"/>
          <w:color w:val="000000"/>
          <w:kern w:val="0"/>
          <w:szCs w:val="21"/>
        </w:rPr>
      </w:pPr>
      <w:r>
        <w:rPr>
          <w:rFonts w:hint="eastAsia" w:ascii="宋体" w:hAnsi="宋体" w:cs="宋体"/>
          <w:b/>
          <w:bCs/>
          <w:kern w:val="0"/>
          <w:szCs w:val="21"/>
        </w:rPr>
        <w:t>②落实数据联审责任制。</w:t>
      </w:r>
      <w:r>
        <w:rPr>
          <w:rFonts w:hint="eastAsia" w:ascii="宋体" w:hAnsi="宋体" w:cs="宋体"/>
          <w:color w:val="000000"/>
          <w:kern w:val="0"/>
          <w:szCs w:val="21"/>
        </w:rPr>
        <w:t>对固定资产投资、能源消耗、利用外资等重点指标的完成情况，坚持每季度与市直有关部门联合会审，并明确和落实各部门的责任。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firstLineChars="200"/>
        <w:rPr>
          <w:rFonts w:ascii="宋体" w:hAnsi="宋体" w:cs="宋体"/>
          <w:kern w:val="0"/>
          <w:szCs w:val="21"/>
        </w:rPr>
      </w:pPr>
      <w:r>
        <w:rPr>
          <w:rFonts w:hint="eastAsia" w:ascii="宋体" w:hAnsi="宋体" w:cs="宋体"/>
          <w:b/>
          <w:bCs/>
          <w:kern w:val="0"/>
          <w:szCs w:val="21"/>
        </w:rPr>
        <w:t>③建立数据质量责任追究制度</w:t>
      </w:r>
      <w:r>
        <w:rPr>
          <w:rFonts w:hint="eastAsia" w:ascii="宋体" w:hAnsi="宋体" w:cs="宋体"/>
          <w:kern w:val="0"/>
          <w:szCs w:val="21"/>
        </w:rPr>
        <w:t>。制定统计数据质量责任事故追究办法，明确统计数据质量责任事故认定标准、责任事故追究形式，形成自我约束、自我监督的统计工作责任体系。</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（2）建立产品化的咨询服务体系。</w:t>
      </w:r>
      <w:r>
        <w:rPr>
          <w:rFonts w:hint="eastAsia" w:ascii="宋体" w:hAnsi="宋体" w:cs="宋体"/>
          <w:color w:val="000000"/>
          <w:kern w:val="0"/>
          <w:szCs w:val="21"/>
        </w:rPr>
        <w:t>积极提升服务理念，为领导决策提供全面的、能动的、高层次服务，实现统计咨询服务产品化。重点在用活统计数据、强化统计调研分析、为分层管理决策和社会公众提供优质服务上给力，在做精品、创品牌上下功夫。</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①</w:t>
      </w:r>
      <w:r>
        <w:rPr>
          <w:rFonts w:hint="eastAsia" w:ascii="宋体" w:hAnsi="宋体" w:cs="宋体"/>
          <w:color w:val="000000"/>
          <w:kern w:val="0"/>
          <w:szCs w:val="21"/>
        </w:rPr>
        <w:t>做好重要信息、统计资料和统计月报，编纂领导干部资料手册、统计年鉴、唐山统计和“十一五”经济资料汇编等。</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color w:val="000000"/>
          <w:kern w:val="0"/>
          <w:szCs w:val="21"/>
        </w:rPr>
        <w:t>②</w:t>
      </w:r>
      <w:r>
        <w:rPr>
          <w:rFonts w:hint="eastAsia" w:ascii="宋体" w:hAnsi="宋体" w:cs="宋体"/>
          <w:color w:val="000000"/>
          <w:kern w:val="0"/>
          <w:szCs w:val="21"/>
        </w:rPr>
        <w:t>充实统计数据“资料库”，确保经济发展到哪里统计服务就延伸到哪里。</w:t>
      </w:r>
      <w:r>
        <w:rPr>
          <w:rFonts w:hint="eastAsia" w:ascii="宋体" w:hAnsi="宋体" w:cs="宋体"/>
          <w:b/>
          <w:bCs/>
          <w:kern w:val="0"/>
          <w:szCs w:val="21"/>
        </w:rPr>
        <w:t>三是</w:t>
      </w:r>
      <w:r>
        <w:rPr>
          <w:rFonts w:hint="eastAsia" w:ascii="宋体" w:hAnsi="宋体" w:cs="宋体"/>
          <w:color w:val="000000"/>
          <w:kern w:val="0"/>
          <w:szCs w:val="21"/>
        </w:rPr>
        <w:t>建立统计监测“直通车”，在各县（市）区选择一至两个乡镇统计站、企业作为监测点，向市局直接报送统计分析，确保快捷有效。</w:t>
      </w:r>
      <w:r>
        <w:rPr>
          <w:rFonts w:hint="eastAsia" w:ascii="宋体" w:hAnsi="宋体" w:cs="宋体"/>
          <w:b/>
          <w:bCs/>
          <w:kern w:val="0"/>
          <w:szCs w:val="21"/>
        </w:rPr>
        <w:t>四是</w:t>
      </w:r>
      <w:r>
        <w:rPr>
          <w:rFonts w:hint="eastAsia" w:ascii="宋体" w:hAnsi="宋体" w:cs="宋体"/>
          <w:color w:val="000000"/>
          <w:kern w:val="0"/>
          <w:szCs w:val="21"/>
        </w:rPr>
        <w:t>成立统计咨询课题组，围绕经济生活中的重点、难点问题，开展专题分析研究，为各级领导决策提供精品服务。</w:t>
      </w:r>
      <w:r>
        <w:rPr>
          <w:rFonts w:hint="eastAsia" w:ascii="宋体" w:hAnsi="宋体" w:cs="宋体"/>
          <w:b/>
          <w:bCs/>
          <w:kern w:val="0"/>
          <w:szCs w:val="21"/>
        </w:rPr>
        <w:t>五是</w:t>
      </w:r>
      <w:r>
        <w:rPr>
          <w:rFonts w:hint="eastAsia" w:ascii="宋体" w:hAnsi="宋体" w:cs="宋体"/>
          <w:color w:val="000000"/>
          <w:kern w:val="0"/>
          <w:szCs w:val="21"/>
        </w:rPr>
        <w:t>加强统计调查和资料开发应用，并组织实施能源调查、居民幸福指数调查等工作，及时提出建议，服务好各级领导决策。</w:t>
      </w:r>
      <w:r>
        <w:rPr>
          <w:rFonts w:hint="eastAsia" w:ascii="宋体" w:hAnsi="宋体" w:cs="宋体"/>
          <w:b/>
          <w:bCs/>
          <w:kern w:val="0"/>
          <w:szCs w:val="21"/>
        </w:rPr>
        <w:t>六是</w:t>
      </w:r>
      <w:r>
        <w:rPr>
          <w:rFonts w:hint="eastAsia" w:ascii="宋体" w:hAnsi="宋体" w:cs="宋体"/>
          <w:color w:val="000000"/>
          <w:kern w:val="0"/>
          <w:szCs w:val="21"/>
        </w:rPr>
        <w:t>延伸统计为民服务</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kern w:val="0"/>
          <w:szCs w:val="21"/>
        </w:rPr>
      </w:pPr>
      <w:r>
        <w:rPr>
          <w:rFonts w:hint="eastAsia" w:ascii="宋体" w:hAnsi="宋体" w:cs="宋体"/>
          <w:color w:val="000000"/>
          <w:kern w:val="0"/>
          <w:szCs w:val="21"/>
        </w:rPr>
        <w:t>（3）</w:t>
      </w:r>
      <w:r>
        <w:rPr>
          <w:rFonts w:hint="eastAsia" w:ascii="宋体" w:hAnsi="宋体" w:cs="宋体"/>
          <w:kern w:val="0"/>
          <w:szCs w:val="21"/>
        </w:rPr>
        <w:t>建立科学化的制度方法体系。把统计改革作为推进统计科学发展的强大动力，积极探索统计制度方法改革的新路径。</w:t>
      </w:r>
      <w:r>
        <w:rPr>
          <w:rFonts w:hint="eastAsia" w:ascii="宋体" w:hAnsi="宋体" w:cs="宋体"/>
          <w:b/>
          <w:bCs/>
          <w:kern w:val="0"/>
          <w:szCs w:val="21"/>
        </w:rPr>
        <w:t>一方面，继续深化“企业一套表”改革。</w:t>
      </w:r>
      <w:r>
        <w:rPr>
          <w:rFonts w:hint="eastAsia" w:ascii="宋体" w:hAnsi="宋体" w:cs="宋体"/>
          <w:kern w:val="0"/>
          <w:szCs w:val="21"/>
        </w:rPr>
        <w:t>把“企业一套表”改革作为推进“四大工程”的龙头，积极配合省局做好“企业一套表”改革的推广工作，巩固“企业一套表”改革成果，及时发现、解决运行中存在的问题，完善系统平台；增加“一套表”汇总表、计算表的表式，逐步替代常规统计的程序；扩大贸易专业“企业一套表”的统计范围，增加规模以下单位的统计；把固定资产投资、服务业、劳资等专业纳入“企业一套表”试点，全面推广使用“企业一套表”系统；加强“企业一套表”运行管理，搞好数据的审核。</w:t>
      </w:r>
      <w:r>
        <w:rPr>
          <w:rFonts w:hint="eastAsia" w:ascii="宋体" w:hAnsi="宋体" w:cs="宋体"/>
          <w:b/>
          <w:bCs/>
          <w:kern w:val="0"/>
          <w:szCs w:val="21"/>
        </w:rPr>
        <w:t>另一方面，推动文化产业、服务业、贸易业等其它统计方法制度的改革创新。</w:t>
      </w:r>
      <w:r>
        <w:rPr>
          <w:rFonts w:hint="eastAsia" w:ascii="宋体" w:hAnsi="宋体" w:cs="宋体"/>
          <w:kern w:val="0"/>
          <w:szCs w:val="21"/>
        </w:rPr>
        <w:t>建立文化产业统计制度，推进服务业报表制度改革，开展贸易统计改革，继续做好规模以上个体户全面入统和完善限额以下商贸企业抽样调查工作。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0" w:firstLineChars="200"/>
        <w:rPr>
          <w:rFonts w:ascii="宋体" w:hAnsi="宋体" w:cs="宋体"/>
          <w:color w:val="000000"/>
          <w:kern w:val="0"/>
          <w:szCs w:val="21"/>
        </w:rPr>
      </w:pPr>
      <w:r>
        <w:rPr>
          <w:rFonts w:hint="eastAsia" w:ascii="宋体" w:hAnsi="宋体" w:cs="宋体"/>
          <w:kern w:val="0"/>
          <w:szCs w:val="21"/>
        </w:rPr>
        <w:t>（4）建立现代化的信息传输体系。</w:t>
      </w:r>
      <w:r>
        <w:rPr>
          <w:rFonts w:hint="eastAsia" w:ascii="宋体" w:hAnsi="宋体" w:cs="宋体"/>
          <w:color w:val="000000"/>
          <w:kern w:val="0"/>
          <w:szCs w:val="21"/>
        </w:rPr>
        <w:t>把统计信息化建设纳入市县电子政务建设规划，按照相关要求，明确建设目标、建设任务和工作进度。</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①健全网络</w:t>
      </w:r>
      <w:r>
        <w:rPr>
          <w:rFonts w:hint="eastAsia" w:ascii="宋体" w:hAnsi="宋体" w:cs="宋体"/>
          <w:color w:val="000000"/>
          <w:kern w:val="0"/>
          <w:szCs w:val="21"/>
        </w:rPr>
        <w:t>。充分利用现有网络平台资源，改造升级省、市、县三级统计信息网络系统和信息安全系统，加快市</w:t>
      </w:r>
      <w:r>
        <w:rPr>
          <w:rFonts w:ascii="宋体" w:hAnsi="宋体" w:cs="宋体"/>
          <w:color w:val="000000"/>
          <w:kern w:val="0"/>
          <w:szCs w:val="21"/>
        </w:rPr>
        <w:t>-</w:t>
      </w:r>
      <w:r>
        <w:rPr>
          <w:rFonts w:hint="eastAsia" w:ascii="宋体" w:hAnsi="宋体" w:cs="宋体"/>
          <w:color w:val="000000"/>
          <w:kern w:val="0"/>
          <w:szCs w:val="21"/>
        </w:rPr>
        <w:t>县间计算机网络扩容、改造工作的步伐。大规模提升乡镇（街道）统计站计算机和网络装备水平，并确保全市乡镇（街道）统计站人均拥有一台计算机。</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20" w:after="120" w:line="360" w:lineRule="auto"/>
        <w:ind w:firstLine="422" w:firstLineChars="200"/>
        <w:rPr>
          <w:rFonts w:ascii="宋体" w:hAnsi="宋体" w:cs="宋体"/>
          <w:color w:val="000000"/>
          <w:kern w:val="0"/>
          <w:szCs w:val="21"/>
        </w:rPr>
      </w:pPr>
      <w:r>
        <w:rPr>
          <w:rFonts w:hint="eastAsia" w:ascii="宋体" w:hAnsi="宋体" w:cs="宋体"/>
          <w:b/>
          <w:bCs/>
          <w:kern w:val="0"/>
          <w:szCs w:val="21"/>
        </w:rPr>
        <w:t>②建设视频会议系统。</w:t>
      </w:r>
      <w:r>
        <w:rPr>
          <w:rFonts w:hint="eastAsia" w:ascii="宋体" w:hAnsi="宋体" w:cs="宋体"/>
          <w:color w:val="000000"/>
          <w:kern w:val="0"/>
          <w:szCs w:val="21"/>
        </w:rPr>
        <w:t>在市县之间建设视频会议系统</w:t>
      </w:r>
      <w:r>
        <w:rPr>
          <w:rFonts w:hint="eastAsia" w:ascii="宋体" w:hAnsi="宋体" w:cs="宋体"/>
          <w:b/>
          <w:bCs/>
          <w:kern w:val="0"/>
          <w:szCs w:val="21"/>
        </w:rPr>
        <w:t>，</w:t>
      </w:r>
      <w:r>
        <w:rPr>
          <w:rFonts w:hint="eastAsia" w:ascii="宋体" w:hAnsi="宋体" w:cs="宋体"/>
          <w:color w:val="000000"/>
          <w:kern w:val="0"/>
          <w:szCs w:val="21"/>
        </w:rPr>
        <w:t>力争上半年完成，确保视频会议系统使用的高效率、高质量、高标准。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firstLineChars="200"/>
        <w:jc w:val="left"/>
      </w:pPr>
      <w:r>
        <w:rPr>
          <w:rFonts w:hint="eastAsia" w:ascii="宋体" w:hAnsi="宋体" w:cs="宋体"/>
          <w:kern w:val="0"/>
          <w:szCs w:val="21"/>
        </w:rPr>
        <w:t>（5）建立精细化的内部管理体系。</w:t>
      </w:r>
      <w:r>
        <w:rPr>
          <w:rFonts w:hint="eastAsia" w:ascii="宋体" w:hAnsi="宋体" w:cs="宋体"/>
          <w:b/>
          <w:bCs/>
          <w:kern w:val="0"/>
          <w:szCs w:val="21"/>
        </w:rPr>
        <w:t>推进干部管理精细化。</w:t>
      </w:r>
      <w:r>
        <w:rPr>
          <w:rFonts w:hint="eastAsia" w:ascii="宋体" w:hAnsi="宋体" w:cs="宋体"/>
          <w:color w:val="000000"/>
          <w:kern w:val="0"/>
          <w:szCs w:val="21"/>
        </w:rPr>
        <w:t>以推进学习型党组织建设、深化“创先争优”活动和</w:t>
      </w:r>
      <w:r>
        <w:rPr>
          <w:rFonts w:ascii="宋体" w:hAnsi="宋体" w:cs="宋体"/>
          <w:color w:val="000000"/>
          <w:kern w:val="0"/>
          <w:szCs w:val="21"/>
        </w:rPr>
        <w:t xml:space="preserve"> </w:t>
      </w:r>
      <w:r>
        <w:rPr>
          <w:rFonts w:hint="eastAsia" w:ascii="宋体" w:hAnsi="宋体" w:cs="宋体"/>
          <w:color w:val="000000"/>
          <w:kern w:val="0"/>
          <w:szCs w:val="21"/>
        </w:rPr>
        <w:t>“五讲五提升”活动为抓手，具体打造学习型、服务型、创新型、规范型、示范型等“五型”团队，全面提高整体素质。</w:t>
      </w:r>
      <w:r>
        <w:rPr>
          <w:rFonts w:hint="eastAsia" w:ascii="宋体" w:hAnsi="宋体" w:cs="宋体"/>
          <w:b/>
          <w:bCs/>
          <w:kern w:val="0"/>
          <w:szCs w:val="21"/>
        </w:rPr>
        <w:t>推进工作管理精细化。</w:t>
      </w:r>
      <w:r>
        <w:rPr>
          <w:rFonts w:hint="eastAsia" w:ascii="宋体" w:hAnsi="宋体" w:cs="宋体"/>
          <w:color w:val="000000"/>
          <w:kern w:val="0"/>
          <w:szCs w:val="21"/>
        </w:rPr>
        <w:t>对各项工作制度进行全面梳理、完善，按照精简程序、理清环节、分清责任、明确标准的要求，细化工作标准，规范工作流程，制定出标准工作流程，使每一项工作都做到过程清晰、责任明确。</w:t>
      </w:r>
    </w:p>
    <w:p>
      <w:pPr>
        <w:spacing w:line="360" w:lineRule="auto"/>
        <w:jc w:val="left"/>
        <w:sectPr>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收支预算总表</w:t>
      </w:r>
    </w:p>
    <w:tbl>
      <w:tblPr>
        <w:tblW w:w="9379" w:type="dxa"/>
        <w:jc w:val="center"/>
        <w:tblInd w:w="-40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96"/>
        <w:gridCol w:w="4961"/>
        <w:gridCol w:w="3022"/>
      </w:tblGrid>
      <w:tr>
        <w:trPr>
          <w:cantSplit/>
          <w:trHeight w:val="312" w:hRule="atLeast"/>
          <w:tblHeader/>
          <w:jc w:val="center"/>
        </w:trPr>
        <w:tc>
          <w:tcPr>
            <w:tcW w:w="6357" w:type="dxa"/>
            <w:gridSpan w:val="2"/>
            <w:tcBorders>
              <w:bottom w:val="single" w:color="auto" w:sz="4" w:space="0"/>
            </w:tcBorders>
            <w:vAlign w:val="center"/>
          </w:tcPr>
          <w:p>
            <w:pPr>
              <w:widowControl/>
              <w:jc w:val="left"/>
              <w:rPr>
                <w:rFonts w:ascii="黑体" w:eastAsia="黑体"/>
                <w:b/>
              </w:rPr>
            </w:pPr>
            <w:r>
              <w:rPr>
                <w:rFonts w:ascii="宋体" w:hAnsi="宋体"/>
                <w:sz w:val="28"/>
              </w:rPr>
              <w:t>212005唐山市统计局数据管理中心</w:t>
            </w:r>
          </w:p>
        </w:tc>
        <w:tc>
          <w:tcPr>
            <w:tcW w:w="3022" w:type="dxa"/>
            <w:tcBorders>
              <w:bottom w:val="single" w:color="auto" w:sz="4" w:space="0"/>
            </w:tcBorders>
            <w:vAlign w:val="center"/>
          </w:tcPr>
          <w:p>
            <w:pPr>
              <w:widowControl/>
              <w:jc w:val="right"/>
              <w:rPr>
                <w:rFonts w:ascii="黑体" w:eastAsia="黑体"/>
                <w:b/>
              </w:rPr>
            </w:pPr>
            <w:r>
              <w:rPr>
                <w:rFonts w:ascii="宋体" w:hAnsi="宋体"/>
                <w:sz w:val="24"/>
              </w:rPr>
              <w:t>单位：万元</w:t>
            </w:r>
          </w:p>
        </w:tc>
      </w:tr>
      <w:tr>
        <w:trPr>
          <w:cantSplit/>
          <w:trHeight w:val="312" w:hRule="atLeast"/>
          <w:tblHeader/>
          <w:jc w:val="center"/>
        </w:trPr>
        <w:tc>
          <w:tcPr>
            <w:tcW w:w="1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项目代码</w:t>
            </w:r>
          </w:p>
        </w:tc>
        <w:tc>
          <w:tcPr>
            <w:tcW w:w="4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预算收支项目</w:t>
            </w:r>
          </w:p>
        </w:tc>
        <w:tc>
          <w:tcPr>
            <w:tcW w:w="30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b/>
                <w:kern w:val="0"/>
                <w:szCs w:val="21"/>
              </w:rPr>
            </w:pPr>
            <w:r>
              <w:rPr>
                <w:rFonts w:hint="eastAsia" w:ascii="黑体" w:eastAsia="黑体"/>
                <w:b/>
              </w:rPr>
              <w:t>预算金额</w:t>
            </w:r>
          </w:p>
        </w:tc>
      </w:tr>
      <w:tr>
        <w:trPr>
          <w:cantSplit/>
          <w:trHeight w:val="312" w:hRule="atLeast"/>
          <w:tblHeader/>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c>
          <w:tcPr>
            <w:tcW w:w="30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p>
        </w:tc>
      </w:tr>
      <w:tr>
        <w:trPr>
          <w:cantSplit/>
          <w:trHeight w:val="312" w:hRule="atLeast"/>
          <w:tblHeader/>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p>
        </w:tc>
        <w:tc>
          <w:tcPr>
            <w:tcW w:w="3022"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146.59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一般公共预算拨款</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146.59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其中：财政拨款（补助）收入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146.59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行政事业性收费</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罚没收入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国有资源（资产）有偿使用收入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国有资本经营收入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债务收入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上级转移支付资金</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其中：一般性转移支付</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专项转移支付</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其他</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政府性基金预算收入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国有资本经营预算收入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其他来源收入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其中：事业收入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上级补助收入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附属单位上缴收入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用事业基金弥补收支差额</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其他收入</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预算支出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146.59</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人员经费支出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111.81</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其中：工资福利支出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98.17</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对个人和家庭补助</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13.64</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34.78</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其中：正常公用经费支出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9.42</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 xml:space="preserve">      专项公用经费支出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r>
              <w:rPr>
                <w:rFonts w:ascii="Arial" w:hAnsi="Arial" w:cs="Arial"/>
                <w:kern w:val="0"/>
                <w:szCs w:val="21"/>
              </w:rPr>
              <w:t>25.36</w:t>
            </w: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专项项目支出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r>
              <w:rPr>
                <w:rFonts w:ascii="Arial" w:hAnsi="Arial" w:cs="Arial"/>
                <w:kern w:val="0"/>
                <w:szCs w:val="21"/>
              </w:rPr>
              <w:t xml:space="preserve"> </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其他支出</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r>
        <w:trPr>
          <w:cantSplit/>
          <w:trHeight w:val="312"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kern w:val="0"/>
                <w:szCs w:val="21"/>
              </w:rPr>
            </w:pP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r>
              <w:rPr>
                <w:rFonts w:hint="eastAsia" w:ascii="Arial" w:hAnsi="Arial" w:cs="Arial"/>
                <w:kern w:val="0"/>
                <w:szCs w:val="21"/>
              </w:rPr>
              <w:t>结    余</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jc w:val="right"/>
              <w:rPr>
                <w:rFonts w:ascii="Arial" w:hAnsi="Arial" w:cs="Arial"/>
                <w:kern w:val="0"/>
                <w:szCs w:val="21"/>
              </w:rPr>
            </w:pPr>
          </w:p>
        </w:tc>
      </w:tr>
    </w:tbl>
    <w:p>
      <w:pPr>
        <w:spacing w:line="20" w:lineRule="exact"/>
        <w:jc w:val="left"/>
      </w:pPr>
    </w:p>
    <w:p>
      <w:pPr>
        <w:spacing w:line="360" w:lineRule="auto"/>
        <w:jc w:val="left"/>
        <w:sectPr>
          <w:headerReference r:id="rId38" w:type="default"/>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人员经费预算</w:t>
      </w:r>
    </w:p>
    <w:tbl>
      <w:tblPr>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
        <w:gridCol w:w="1436"/>
        <w:gridCol w:w="1417"/>
        <w:gridCol w:w="4253"/>
        <w:gridCol w:w="1417"/>
        <w:gridCol w:w="1418"/>
        <w:gridCol w:w="489"/>
        <w:gridCol w:w="928"/>
        <w:gridCol w:w="1276"/>
        <w:gridCol w:w="1180"/>
        <w:gridCol w:w="180"/>
      </w:tblGrid>
      <w:tr>
        <w:trPr>
          <w:gridAfter w:val="1"/>
          <w:wAfter w:w="180" w:type="dxa"/>
          <w:cantSplit/>
          <w:trHeight w:val="285" w:hRule="atLeast"/>
          <w:tblHeader/>
          <w:jc w:val="center"/>
        </w:trPr>
        <w:tc>
          <w:tcPr>
            <w:tcW w:w="10523" w:type="dxa"/>
            <w:gridSpan w:val="7"/>
            <w:tcBorders>
              <w:top w:val="nil"/>
              <w:left w:val="nil"/>
              <w:bottom w:val="nil"/>
              <w:right w:val="nil"/>
            </w:tcBorders>
            <w:shd w:val="clear" w:color="auto" w:fill="auto"/>
            <w:vAlign w:val="center"/>
          </w:tcPr>
          <w:p>
            <w:pPr>
              <w:widowControl/>
              <w:jc w:val="left"/>
              <w:rPr>
                <w:rFonts w:ascii="黑体" w:eastAsia="黑体"/>
                <w:b/>
              </w:rPr>
            </w:pPr>
            <w:r>
              <w:rPr>
                <w:rFonts w:ascii="宋体" w:hAnsi="宋体"/>
                <w:sz w:val="28"/>
              </w:rPr>
              <w:t>212005唐山市统计局数据管理中心</w:t>
            </w:r>
          </w:p>
        </w:tc>
        <w:tc>
          <w:tcPr>
            <w:tcW w:w="3384" w:type="dxa"/>
            <w:gridSpan w:val="3"/>
            <w:tcBorders>
              <w:top w:val="nil"/>
              <w:left w:val="nil"/>
              <w:bottom w:val="nil"/>
              <w:right w:val="nil"/>
            </w:tcBorders>
            <w:shd w:val="clear" w:color="000000" w:fill="FFFFFF"/>
            <w:vAlign w:val="center"/>
          </w:tcPr>
          <w:p>
            <w:pPr>
              <w:widowControl/>
              <w:jc w:val="right"/>
              <w:rPr>
                <w:rFonts w:ascii="黑体" w:eastAsia="黑体"/>
                <w:b/>
              </w:rPr>
            </w:pPr>
            <w:r>
              <w:rPr>
                <w:rFonts w:ascii="宋体" w:hAnsi="宋体"/>
                <w:sz w:val="24"/>
              </w:rPr>
              <w:t>单位：万元</w:t>
            </w:r>
          </w:p>
        </w:tc>
      </w:tr>
      <w:tr>
        <w:trPr>
          <w:gridBefore w:val="1"/>
          <w:wBefore w:w="93" w:type="dxa"/>
          <w:cantSplit/>
          <w:trHeight w:val="256" w:hRule="atLeast"/>
          <w:tblHeader/>
          <w:jc w:val="center"/>
        </w:trPr>
        <w:tc>
          <w:tcPr>
            <w:tcW w:w="1436"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功能分类科目编码</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经济分类科目编码</w:t>
            </w:r>
          </w:p>
        </w:tc>
        <w:tc>
          <w:tcPr>
            <w:tcW w:w="4253"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预算支出项目</w:t>
            </w:r>
          </w:p>
        </w:tc>
        <w:tc>
          <w:tcPr>
            <w:tcW w:w="6888" w:type="dxa"/>
            <w:gridSpan w:val="7"/>
            <w:vAlign w:val="center"/>
          </w:tcPr>
          <w:p>
            <w:pPr>
              <w:widowControl/>
              <w:jc w:val="center"/>
              <w:rPr>
                <w:rFonts w:ascii="黑体" w:hAnsi="黑体" w:eastAsia="黑体" w:cs="宋体"/>
                <w:b/>
                <w:color w:val="000000"/>
                <w:kern w:val="0"/>
                <w:szCs w:val="21"/>
              </w:rPr>
            </w:pPr>
            <w:r>
              <w:rPr>
                <w:rFonts w:hint="eastAsia" w:ascii="黑体" w:eastAsia="黑体"/>
                <w:b/>
              </w:rPr>
              <w:t>经 费 来 源</w:t>
            </w:r>
          </w:p>
        </w:tc>
      </w:tr>
      <w:tr>
        <w:trPr>
          <w:gridBefore w:val="1"/>
          <w:wBefore w:w="93" w:type="dxa"/>
          <w:cantSplit/>
          <w:trHeight w:val="312" w:hRule="atLeast"/>
          <w:tblHeader/>
          <w:jc w:val="center"/>
        </w:trPr>
        <w:tc>
          <w:tcPr>
            <w:tcW w:w="1436" w:type="dxa"/>
            <w:vMerge w:val="continue"/>
            <w:vAlign w:val="center"/>
          </w:tcPr>
          <w:p>
            <w:pPr>
              <w:widowControl/>
              <w:jc w:val="center"/>
              <w:rPr>
                <w:rFonts w:ascii="黑体" w:hAnsi="黑体" w:eastAsia="黑体" w:cs="宋体"/>
                <w:b/>
                <w:color w:val="000000"/>
                <w:kern w:val="0"/>
                <w:szCs w:val="21"/>
              </w:rPr>
            </w:pPr>
          </w:p>
        </w:tc>
        <w:tc>
          <w:tcPr>
            <w:tcW w:w="1417" w:type="dxa"/>
            <w:vMerge w:val="continue"/>
            <w:vAlign w:val="center"/>
          </w:tcPr>
          <w:p>
            <w:pPr>
              <w:widowControl/>
              <w:jc w:val="center"/>
              <w:rPr>
                <w:rFonts w:ascii="黑体" w:hAnsi="黑体" w:eastAsia="黑体" w:cs="宋体"/>
                <w:b/>
                <w:color w:val="000000"/>
                <w:kern w:val="0"/>
                <w:szCs w:val="21"/>
              </w:rPr>
            </w:pPr>
          </w:p>
        </w:tc>
        <w:tc>
          <w:tcPr>
            <w:tcW w:w="4253" w:type="dxa"/>
            <w:vMerge w:val="continue"/>
            <w:vAlign w:val="center"/>
          </w:tcPr>
          <w:p>
            <w:pPr>
              <w:widowControl/>
              <w:jc w:val="center"/>
              <w:rPr>
                <w:rFonts w:ascii="黑体" w:hAnsi="黑体" w:eastAsia="黑体" w:cs="宋体"/>
                <w:b/>
                <w:color w:val="000000"/>
                <w:kern w:val="0"/>
                <w:szCs w:val="21"/>
              </w:rPr>
            </w:pP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合 计</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一般公共预算拨款安排</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政府性基金预算拨款安排</w:t>
            </w:r>
          </w:p>
        </w:tc>
        <w:tc>
          <w:tcPr>
            <w:tcW w:w="127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360"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其他来源收入安排</w:t>
            </w:r>
          </w:p>
        </w:tc>
      </w:tr>
      <w:tr>
        <w:trPr>
          <w:gridBefore w:val="1"/>
          <w:wBefore w:w="93" w:type="dxa"/>
          <w:cantSplit/>
          <w:trHeight w:val="312" w:hRule="atLeast"/>
          <w:tblHeader/>
          <w:jc w:val="center"/>
        </w:trPr>
        <w:tc>
          <w:tcPr>
            <w:tcW w:w="1436"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4253"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1418" w:type="dxa"/>
            <w:vMerge w:val="continue"/>
            <w:vAlign w:val="center"/>
          </w:tcPr>
          <w:p>
            <w:pPr>
              <w:widowControl/>
              <w:jc w:val="center"/>
              <w:rPr>
                <w:rFonts w:ascii="宋体" w:hAnsi="宋体" w:cs="宋体"/>
                <w:color w:val="000000"/>
                <w:kern w:val="0"/>
                <w:sz w:val="22"/>
              </w:rPr>
            </w:pPr>
          </w:p>
        </w:tc>
        <w:tc>
          <w:tcPr>
            <w:tcW w:w="1417" w:type="dxa"/>
            <w:gridSpan w:val="2"/>
            <w:vMerge w:val="continue"/>
            <w:vAlign w:val="center"/>
          </w:tcPr>
          <w:p>
            <w:pPr>
              <w:widowControl/>
              <w:jc w:val="center"/>
              <w:rPr>
                <w:rFonts w:ascii="宋体" w:hAnsi="宋体" w:cs="宋体"/>
                <w:color w:val="000000"/>
                <w:kern w:val="0"/>
                <w:sz w:val="22"/>
              </w:rPr>
            </w:pPr>
          </w:p>
        </w:tc>
        <w:tc>
          <w:tcPr>
            <w:tcW w:w="1276" w:type="dxa"/>
            <w:vMerge w:val="continue"/>
            <w:vAlign w:val="center"/>
          </w:tcPr>
          <w:p>
            <w:pPr>
              <w:widowControl/>
              <w:jc w:val="center"/>
              <w:rPr>
                <w:rFonts w:ascii="宋体" w:hAnsi="宋体" w:cs="宋体"/>
                <w:color w:val="000000"/>
                <w:kern w:val="0"/>
                <w:sz w:val="22"/>
              </w:rPr>
            </w:pPr>
          </w:p>
        </w:tc>
        <w:tc>
          <w:tcPr>
            <w:tcW w:w="1360" w:type="dxa"/>
            <w:gridSpan w:val="2"/>
            <w:vMerge w:val="continue"/>
            <w:vAlign w:val="center"/>
          </w:tcPr>
          <w:p>
            <w:pPr>
              <w:widowControl/>
              <w:jc w:val="center"/>
              <w:rPr>
                <w:rFonts w:ascii="宋体" w:hAnsi="宋体" w:cs="宋体"/>
                <w:color w:val="000000"/>
                <w:kern w:val="0"/>
                <w:sz w:val="22"/>
              </w:rPr>
            </w:pPr>
          </w:p>
        </w:tc>
      </w:tr>
      <w:tr>
        <w:trPr>
          <w:gridBefore w:val="1"/>
          <w:wBefore w:w="93" w:type="dxa"/>
          <w:cantSplit/>
          <w:trHeight w:val="312" w:hRule="atLeast"/>
          <w:tblHeader/>
          <w:jc w:val="center"/>
        </w:trPr>
        <w:tc>
          <w:tcPr>
            <w:tcW w:w="1436"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left"/>
              <w:rPr>
                <w:rFonts w:ascii="宋体" w:hAnsi="宋体" w:cs="宋体"/>
                <w:color w:val="000000"/>
                <w:kern w:val="0"/>
                <w:szCs w:val="21"/>
              </w:rPr>
            </w:pPr>
          </w:p>
        </w:tc>
        <w:tc>
          <w:tcPr>
            <w:tcW w:w="4253"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1360" w:type="dxa"/>
            <w:gridSpan w:val="2"/>
            <w:vMerge w:val="continue"/>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人员经费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111.81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111.81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一、工资福利支出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98.17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98.17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1、基本工资</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31.75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31.75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2、津贴补贴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1）地区附加津贴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工作津贴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生活补贴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增发津补贴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2）（特殊）岗位津贴（补贴）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3）规范津补贴后仍继续保留的补贴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回族补贴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职工劳模荣誉津贴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4）上述项目之外的津贴补贴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通讯费补贴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30102</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女职工卫生费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3、奖金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4、社会保障缴费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30.21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30.21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2080505</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30108</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1）基本养老保险费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13.56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13.56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2080506</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2）职业年金缴费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5.42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5.42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2101102</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3）基本医疗保险费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10.17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10.17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4）事业单位失业保险</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0.55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0.55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5）事业单位工伤保险</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0.34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0.34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6）职工生育保险费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5、绩效工资</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36.03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36.03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1）基础性绩效工资</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23.28</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23.28</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2）奖励性绩效工资</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10.65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10.65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30107</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3）事业单位上年度12月份基本工资</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2.10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2.10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6、其他工资福利支出</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1）人事代理人员工资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2）劳务派遣人员工资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3）其他编外人员工资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4）病假两个月以上期间的人员工资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5）教师超工作量津贴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6）各种加班工资</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30199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7）预留人员经费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二、对个人和家庭的补助</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13.64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13.64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1、离休费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30302</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2、退休费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3、教育系统养老金补贴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30304</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4、抚恤金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30305</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5、生活补助</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6、医疗费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7、助学金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8、奖励金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0.04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0.04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1）独生子女父母奖励</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0.04</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0.04</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30309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2）其他奖励金</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2210201</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9、住房公积金</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8.13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8.13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10、其他对个人和家庭的补助支出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5.47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5.47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1）在职人员取暖补贴</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5.47</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5.47</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30314</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2）离退休人员取暖补贴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30399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3）其他</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39" w:type="default"/>
          <w:pgSz w:w="16838" w:h="11906" w:orient="landscape"/>
          <w:pgMar w:top="1800" w:right="1440" w:bottom="1800" w:left="144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正常公用经费预算</w:t>
      </w:r>
    </w:p>
    <w:tbl>
      <w:tblPr>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
        <w:gridCol w:w="1436"/>
        <w:gridCol w:w="1417"/>
        <w:gridCol w:w="4253"/>
        <w:gridCol w:w="1417"/>
        <w:gridCol w:w="1418"/>
        <w:gridCol w:w="489"/>
        <w:gridCol w:w="928"/>
        <w:gridCol w:w="1276"/>
        <w:gridCol w:w="1180"/>
        <w:gridCol w:w="180"/>
      </w:tblGrid>
      <w:tr>
        <w:trPr>
          <w:gridAfter w:val="1"/>
          <w:wAfter w:w="180" w:type="dxa"/>
          <w:cantSplit/>
          <w:trHeight w:val="285" w:hRule="atLeast"/>
          <w:tblHeader/>
          <w:jc w:val="center"/>
        </w:trPr>
        <w:tc>
          <w:tcPr>
            <w:tcW w:w="10523" w:type="dxa"/>
            <w:gridSpan w:val="7"/>
            <w:tcBorders>
              <w:top w:val="nil"/>
              <w:left w:val="nil"/>
              <w:bottom w:val="nil"/>
              <w:right w:val="nil"/>
            </w:tcBorders>
            <w:shd w:val="clear" w:color="auto" w:fill="auto"/>
            <w:vAlign w:val="center"/>
          </w:tcPr>
          <w:p>
            <w:pPr>
              <w:widowControl/>
              <w:jc w:val="left"/>
              <w:rPr>
                <w:rFonts w:ascii="黑体" w:eastAsia="黑体"/>
                <w:b/>
              </w:rPr>
            </w:pPr>
            <w:r>
              <w:rPr>
                <w:rFonts w:ascii="宋体" w:hAnsi="宋体"/>
                <w:sz w:val="28"/>
              </w:rPr>
              <w:t>212005唐山市统计局数据管理中心</w:t>
            </w:r>
          </w:p>
        </w:tc>
        <w:tc>
          <w:tcPr>
            <w:tcW w:w="3384" w:type="dxa"/>
            <w:gridSpan w:val="3"/>
            <w:tcBorders>
              <w:top w:val="nil"/>
              <w:left w:val="nil"/>
              <w:bottom w:val="nil"/>
              <w:right w:val="nil"/>
            </w:tcBorders>
            <w:shd w:val="clear" w:color="000000" w:fill="FFFFFF"/>
            <w:vAlign w:val="center"/>
          </w:tcPr>
          <w:p>
            <w:pPr>
              <w:widowControl/>
              <w:jc w:val="right"/>
              <w:rPr>
                <w:rFonts w:ascii="黑体" w:eastAsia="黑体"/>
                <w:b/>
              </w:rPr>
            </w:pPr>
            <w:r>
              <w:rPr>
                <w:rFonts w:ascii="宋体" w:hAnsi="宋体"/>
                <w:sz w:val="24"/>
              </w:rPr>
              <w:t>单位：万元</w:t>
            </w:r>
          </w:p>
        </w:tc>
      </w:tr>
      <w:tr>
        <w:trPr>
          <w:gridBefore w:val="1"/>
          <w:wBefore w:w="93" w:type="dxa"/>
          <w:cantSplit/>
          <w:trHeight w:val="256" w:hRule="atLeast"/>
          <w:tblHeader/>
          <w:jc w:val="center"/>
        </w:trPr>
        <w:tc>
          <w:tcPr>
            <w:tcW w:w="1436"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功能分类科目编码</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经济分类科目编码</w:t>
            </w:r>
          </w:p>
        </w:tc>
        <w:tc>
          <w:tcPr>
            <w:tcW w:w="4253"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预算支出项目</w:t>
            </w:r>
          </w:p>
        </w:tc>
        <w:tc>
          <w:tcPr>
            <w:tcW w:w="6888" w:type="dxa"/>
            <w:gridSpan w:val="7"/>
            <w:vAlign w:val="center"/>
          </w:tcPr>
          <w:p>
            <w:pPr>
              <w:widowControl/>
              <w:jc w:val="center"/>
              <w:rPr>
                <w:rFonts w:ascii="黑体" w:hAnsi="黑体" w:eastAsia="黑体" w:cs="宋体"/>
                <w:b/>
                <w:color w:val="000000"/>
                <w:kern w:val="0"/>
                <w:szCs w:val="21"/>
              </w:rPr>
            </w:pPr>
            <w:r>
              <w:rPr>
                <w:rFonts w:hint="eastAsia" w:ascii="黑体" w:eastAsia="黑体"/>
                <w:b/>
              </w:rPr>
              <w:t>经 费 来 源</w:t>
            </w:r>
          </w:p>
        </w:tc>
      </w:tr>
      <w:tr>
        <w:trPr>
          <w:gridBefore w:val="1"/>
          <w:wBefore w:w="93" w:type="dxa"/>
          <w:cantSplit/>
          <w:trHeight w:val="312" w:hRule="atLeast"/>
          <w:tblHeader/>
          <w:jc w:val="center"/>
        </w:trPr>
        <w:tc>
          <w:tcPr>
            <w:tcW w:w="1436" w:type="dxa"/>
            <w:vMerge w:val="continue"/>
            <w:vAlign w:val="center"/>
          </w:tcPr>
          <w:p>
            <w:pPr>
              <w:widowControl/>
              <w:jc w:val="center"/>
              <w:rPr>
                <w:rFonts w:ascii="黑体" w:hAnsi="黑体" w:eastAsia="黑体" w:cs="宋体"/>
                <w:b/>
                <w:color w:val="000000"/>
                <w:kern w:val="0"/>
                <w:szCs w:val="21"/>
              </w:rPr>
            </w:pPr>
          </w:p>
        </w:tc>
        <w:tc>
          <w:tcPr>
            <w:tcW w:w="1417" w:type="dxa"/>
            <w:vMerge w:val="continue"/>
            <w:vAlign w:val="center"/>
          </w:tcPr>
          <w:p>
            <w:pPr>
              <w:widowControl/>
              <w:jc w:val="center"/>
              <w:rPr>
                <w:rFonts w:ascii="黑体" w:hAnsi="黑体" w:eastAsia="黑体" w:cs="宋体"/>
                <w:b/>
                <w:color w:val="000000"/>
                <w:kern w:val="0"/>
                <w:szCs w:val="21"/>
              </w:rPr>
            </w:pPr>
          </w:p>
        </w:tc>
        <w:tc>
          <w:tcPr>
            <w:tcW w:w="4253" w:type="dxa"/>
            <w:vMerge w:val="continue"/>
            <w:vAlign w:val="center"/>
          </w:tcPr>
          <w:p>
            <w:pPr>
              <w:widowControl/>
              <w:jc w:val="center"/>
              <w:rPr>
                <w:rFonts w:ascii="黑体" w:hAnsi="黑体" w:eastAsia="黑体" w:cs="宋体"/>
                <w:b/>
                <w:color w:val="000000"/>
                <w:kern w:val="0"/>
                <w:szCs w:val="21"/>
              </w:rPr>
            </w:pP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合 计</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eastAsia="黑体"/>
                <w:b/>
              </w:rPr>
              <w:t>一般公共预算拨款安排</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政府性基金预算拨款安排</w:t>
            </w:r>
          </w:p>
        </w:tc>
        <w:tc>
          <w:tcPr>
            <w:tcW w:w="1276"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360" w:type="dxa"/>
            <w:gridSpan w:val="2"/>
            <w:vMerge w:val="restart"/>
            <w:vAlign w:val="center"/>
          </w:tcPr>
          <w:p>
            <w:pPr>
              <w:widowControl/>
              <w:jc w:val="center"/>
              <w:rPr>
                <w:rFonts w:ascii="黑体" w:hAnsi="黑体" w:eastAsia="黑体" w:cs="宋体"/>
                <w:b/>
                <w:color w:val="000000"/>
                <w:kern w:val="0"/>
                <w:szCs w:val="21"/>
              </w:rPr>
            </w:pPr>
            <w:r>
              <w:rPr>
                <w:rFonts w:hint="eastAsia" w:ascii="黑体" w:eastAsia="黑体"/>
                <w:b/>
              </w:rPr>
              <w:t>其他来源收入安排</w:t>
            </w:r>
          </w:p>
        </w:tc>
      </w:tr>
      <w:tr>
        <w:trPr>
          <w:gridBefore w:val="1"/>
          <w:wBefore w:w="93" w:type="dxa"/>
          <w:cantSplit/>
          <w:trHeight w:val="312" w:hRule="atLeast"/>
          <w:tblHeader/>
          <w:jc w:val="center"/>
        </w:trPr>
        <w:tc>
          <w:tcPr>
            <w:tcW w:w="1436"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4253" w:type="dxa"/>
            <w:vMerge w:val="continue"/>
            <w:vAlign w:val="center"/>
          </w:tcPr>
          <w:p>
            <w:pPr>
              <w:widowControl/>
              <w:jc w:val="center"/>
              <w:rPr>
                <w:rFonts w:ascii="宋体" w:hAnsi="宋体" w:cs="宋体"/>
                <w:color w:val="000000"/>
                <w:kern w:val="0"/>
                <w:sz w:val="22"/>
              </w:rPr>
            </w:pPr>
          </w:p>
        </w:tc>
        <w:tc>
          <w:tcPr>
            <w:tcW w:w="1417" w:type="dxa"/>
            <w:vMerge w:val="continue"/>
            <w:vAlign w:val="center"/>
          </w:tcPr>
          <w:p>
            <w:pPr>
              <w:widowControl/>
              <w:jc w:val="center"/>
              <w:rPr>
                <w:rFonts w:ascii="宋体" w:hAnsi="宋体" w:cs="宋体"/>
                <w:color w:val="000000"/>
                <w:kern w:val="0"/>
                <w:sz w:val="22"/>
              </w:rPr>
            </w:pPr>
          </w:p>
        </w:tc>
        <w:tc>
          <w:tcPr>
            <w:tcW w:w="1418" w:type="dxa"/>
            <w:vMerge w:val="continue"/>
            <w:vAlign w:val="center"/>
          </w:tcPr>
          <w:p>
            <w:pPr>
              <w:widowControl/>
              <w:jc w:val="center"/>
              <w:rPr>
                <w:rFonts w:ascii="宋体" w:hAnsi="宋体" w:cs="宋体"/>
                <w:color w:val="000000"/>
                <w:kern w:val="0"/>
                <w:sz w:val="22"/>
              </w:rPr>
            </w:pPr>
          </w:p>
        </w:tc>
        <w:tc>
          <w:tcPr>
            <w:tcW w:w="1417" w:type="dxa"/>
            <w:gridSpan w:val="2"/>
            <w:vMerge w:val="continue"/>
            <w:vAlign w:val="center"/>
          </w:tcPr>
          <w:p>
            <w:pPr>
              <w:widowControl/>
              <w:jc w:val="center"/>
              <w:rPr>
                <w:rFonts w:ascii="宋体" w:hAnsi="宋体" w:cs="宋体"/>
                <w:color w:val="000000"/>
                <w:kern w:val="0"/>
                <w:sz w:val="22"/>
              </w:rPr>
            </w:pPr>
          </w:p>
        </w:tc>
        <w:tc>
          <w:tcPr>
            <w:tcW w:w="1276" w:type="dxa"/>
            <w:vMerge w:val="continue"/>
            <w:vAlign w:val="center"/>
          </w:tcPr>
          <w:p>
            <w:pPr>
              <w:widowControl/>
              <w:jc w:val="center"/>
              <w:rPr>
                <w:rFonts w:ascii="宋体" w:hAnsi="宋体" w:cs="宋体"/>
                <w:color w:val="000000"/>
                <w:kern w:val="0"/>
                <w:sz w:val="22"/>
              </w:rPr>
            </w:pPr>
          </w:p>
        </w:tc>
        <w:tc>
          <w:tcPr>
            <w:tcW w:w="1360" w:type="dxa"/>
            <w:gridSpan w:val="2"/>
            <w:vMerge w:val="continue"/>
            <w:vAlign w:val="center"/>
          </w:tcPr>
          <w:p>
            <w:pPr>
              <w:widowControl/>
              <w:jc w:val="center"/>
              <w:rPr>
                <w:rFonts w:ascii="宋体" w:hAnsi="宋体" w:cs="宋体"/>
                <w:color w:val="000000"/>
                <w:kern w:val="0"/>
                <w:sz w:val="22"/>
              </w:rPr>
            </w:pPr>
          </w:p>
        </w:tc>
      </w:tr>
      <w:tr>
        <w:trPr>
          <w:gridBefore w:val="1"/>
          <w:wBefore w:w="93" w:type="dxa"/>
          <w:cantSplit/>
          <w:trHeight w:val="312" w:hRule="atLeast"/>
          <w:tblHeader/>
          <w:jc w:val="center"/>
        </w:trPr>
        <w:tc>
          <w:tcPr>
            <w:tcW w:w="1436"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left"/>
              <w:rPr>
                <w:rFonts w:ascii="宋体" w:hAnsi="宋体" w:cs="宋体"/>
                <w:color w:val="000000"/>
                <w:kern w:val="0"/>
                <w:szCs w:val="21"/>
              </w:rPr>
            </w:pPr>
          </w:p>
        </w:tc>
        <w:tc>
          <w:tcPr>
            <w:tcW w:w="4253" w:type="dxa"/>
            <w:vMerge w:val="continue"/>
            <w:vAlign w:val="center"/>
          </w:tcPr>
          <w:p>
            <w:pPr>
              <w:widowControl/>
              <w:jc w:val="lef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276" w:type="dxa"/>
            <w:vMerge w:val="continue"/>
            <w:vAlign w:val="center"/>
          </w:tcPr>
          <w:p>
            <w:pPr>
              <w:widowControl/>
              <w:jc w:val="right"/>
              <w:rPr>
                <w:rFonts w:ascii="宋体" w:hAnsi="宋体" w:cs="宋体"/>
                <w:color w:val="000000"/>
                <w:kern w:val="0"/>
                <w:szCs w:val="21"/>
              </w:rPr>
            </w:pPr>
          </w:p>
        </w:tc>
        <w:tc>
          <w:tcPr>
            <w:tcW w:w="1360" w:type="dxa"/>
            <w:gridSpan w:val="2"/>
            <w:vMerge w:val="continue"/>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正常公用经费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9.42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9.42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一、定额安排公用经费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6.72</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6.72</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1、办公费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0.56</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0.56</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2、邮电费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0.45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0.45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3、差旅费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1.65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1.65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4、物业管理费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0.55</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0.55</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30213</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5、维修（护）费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30231</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6、公务用车运行维护费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3.40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3.40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30239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7、公务交通补贴</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8、其他商品和服务支出</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0.11</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0.11</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二、按规定比例提取安排公用经费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2.70</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2.70</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2050803</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30216</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1、培训费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0.99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0.99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30217</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2、公务接待费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0.13</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0.13</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30228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3、工会经费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0.79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0.79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30229</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4、福利费</w:t>
            </w:r>
          </w:p>
        </w:tc>
        <w:tc>
          <w:tcPr>
            <w:tcW w:w="1417" w:type="dxa"/>
            <w:vAlign w:val="center"/>
          </w:tcPr>
          <w:p>
            <w:pPr>
              <w:widowControl/>
              <w:jc w:val="right"/>
              <w:rPr>
                <w:rFonts w:ascii="宋体" w:hAnsi="宋体" w:cs="宋体"/>
                <w:color w:val="000000"/>
                <w:kern w:val="0"/>
                <w:szCs w:val="21"/>
              </w:rPr>
            </w:pPr>
            <w:r>
              <w:rPr>
                <w:rFonts w:ascii="宋体" w:hAnsi="宋体" w:cs="宋体"/>
                <w:color w:val="000000"/>
                <w:kern w:val="0"/>
                <w:szCs w:val="21"/>
              </w:rPr>
              <w:t>0.79</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0.79</w:t>
            </w: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5、其他</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1）离休人员福利费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2）退休人员福利费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3）离休干部公用经费、特需费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30299</w:t>
            </w: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4）退休干部公用经费、特需费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p>
        </w:tc>
        <w:tc>
          <w:tcPr>
            <w:tcW w:w="1417" w:type="dxa"/>
            <w:vAlign w:val="center"/>
          </w:tcPr>
          <w:p>
            <w:pPr>
              <w:widowControl/>
              <w:jc w:val="left"/>
              <w:rPr>
                <w:rFonts w:ascii="宋体" w:hAnsi="宋体" w:cs="宋体"/>
                <w:color w:val="000000"/>
                <w:kern w:val="0"/>
                <w:szCs w:val="21"/>
              </w:rPr>
            </w:pPr>
          </w:p>
        </w:tc>
        <w:tc>
          <w:tcPr>
            <w:tcW w:w="4253"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三、非定额安排公用经费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30205</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1、水费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30206</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2、电费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r>
        <w:trPr>
          <w:gridBefore w:val="1"/>
          <w:wBefore w:w="93" w:type="dxa"/>
          <w:cantSplit/>
          <w:trHeight w:val="312" w:hRule="atLeast"/>
          <w:jc w:val="center"/>
        </w:trPr>
        <w:tc>
          <w:tcPr>
            <w:tcW w:w="1436" w:type="dxa"/>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1417" w:type="dxa"/>
            <w:vAlign w:val="center"/>
          </w:tcPr>
          <w:p>
            <w:pPr>
              <w:widowControl/>
              <w:jc w:val="left"/>
              <w:rPr>
                <w:rFonts w:ascii="宋体" w:hAnsi="宋体" w:cs="宋体"/>
                <w:color w:val="000000"/>
                <w:kern w:val="0"/>
                <w:szCs w:val="21"/>
              </w:rPr>
            </w:pPr>
            <w:r>
              <w:rPr>
                <w:rFonts w:ascii="宋体" w:hAnsi="宋体" w:cs="宋体"/>
                <w:color w:val="000000"/>
                <w:kern w:val="0"/>
                <w:szCs w:val="21"/>
              </w:rPr>
              <w:t>30208</w:t>
            </w:r>
          </w:p>
        </w:tc>
        <w:tc>
          <w:tcPr>
            <w:tcW w:w="4253" w:type="dxa"/>
            <w:vAlign w:val="center"/>
          </w:tcPr>
          <w:p>
            <w:pPr>
              <w:widowControl/>
              <w:jc w:val="left"/>
              <w:rPr>
                <w:rFonts w:ascii="宋体" w:hAnsi="宋体" w:cs="宋体"/>
                <w:color w:val="000000"/>
                <w:kern w:val="0"/>
                <w:szCs w:val="21"/>
              </w:rPr>
            </w:pPr>
            <w:r>
              <w:rPr>
                <w:rFonts w:ascii="宋体" w:hAnsi="宋体" w:cs="宋体"/>
                <w:color w:val="000000"/>
                <w:kern w:val="0"/>
                <w:szCs w:val="21"/>
              </w:rPr>
              <w:t>3、取暖费</w:t>
            </w:r>
          </w:p>
        </w:tc>
        <w:tc>
          <w:tcPr>
            <w:tcW w:w="1417" w:type="dxa"/>
            <w:vAlign w:val="center"/>
          </w:tcPr>
          <w:p>
            <w:pPr>
              <w:widowControl/>
              <w:jc w:val="right"/>
              <w:rPr>
                <w:rFonts w:ascii="宋体" w:hAnsi="宋体" w:cs="宋体"/>
                <w:color w:val="000000"/>
                <w:kern w:val="0"/>
                <w:szCs w:val="21"/>
              </w:rPr>
            </w:pPr>
          </w:p>
        </w:tc>
        <w:tc>
          <w:tcPr>
            <w:tcW w:w="1418" w:type="dxa"/>
            <w:vAlign w:val="center"/>
          </w:tcPr>
          <w:p>
            <w:pPr>
              <w:widowControl/>
              <w:jc w:val="right"/>
              <w:rPr>
                <w:rFonts w:ascii="宋体" w:hAnsi="宋体" w:cs="宋体"/>
                <w:color w:val="000000"/>
                <w:kern w:val="0"/>
                <w:szCs w:val="21"/>
              </w:rPr>
            </w:pPr>
          </w:p>
        </w:tc>
        <w:tc>
          <w:tcPr>
            <w:tcW w:w="1417" w:type="dxa"/>
            <w:gridSpan w:val="2"/>
            <w:vAlign w:val="center"/>
          </w:tcPr>
          <w:p>
            <w:pPr>
              <w:widowControl/>
              <w:jc w:val="right"/>
              <w:rPr>
                <w:rFonts w:ascii="宋体" w:hAnsi="宋体" w:cs="宋体"/>
                <w:color w:val="000000"/>
                <w:kern w:val="0"/>
                <w:szCs w:val="21"/>
              </w:rPr>
            </w:pPr>
          </w:p>
        </w:tc>
        <w:tc>
          <w:tcPr>
            <w:tcW w:w="1276" w:type="dxa"/>
            <w:vAlign w:val="center"/>
          </w:tcPr>
          <w:p>
            <w:pPr>
              <w:widowControl/>
              <w:jc w:val="right"/>
              <w:rPr>
                <w:rFonts w:ascii="宋体" w:hAnsi="宋体" w:cs="宋体"/>
                <w:color w:val="000000"/>
                <w:kern w:val="0"/>
                <w:szCs w:val="21"/>
              </w:rPr>
            </w:pPr>
          </w:p>
        </w:tc>
        <w:tc>
          <w:tcPr>
            <w:tcW w:w="1360"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40" w:type="default"/>
          <w:pgSz w:w="16838" w:h="11906" w:orient="landscape"/>
          <w:pgMar w:top="1800" w:right="1440" w:bottom="1800" w:left="1440" w:header="851" w:footer="992" w:gutter="0"/>
          <w:cols w:space="720" w:num="1"/>
          <w:docGrid w:type="lines" w:linePitch="312"/>
        </w:sectPr>
      </w:pPr>
    </w:p>
    <w:p>
      <w:pPr>
        <w:jc w:val="center"/>
        <w:rPr>
          <w:rFonts w:ascii="黑体" w:hAnsi="黑体" w:eastAsia="黑体"/>
          <w:b/>
          <w:sz w:val="32"/>
          <w:szCs w:val="32"/>
        </w:rPr>
      </w:pPr>
      <w:r>
        <w:rPr>
          <w:rFonts w:hint="eastAsia" w:ascii="黑体" w:hAnsi="黑体" w:eastAsia="黑体"/>
          <w:b/>
          <w:sz w:val="32"/>
          <w:szCs w:val="32"/>
        </w:rPr>
        <w:t>“三公”及会议培训经费预算</w:t>
      </w:r>
    </w:p>
    <w:tbl>
      <w:tblPr>
        <w:tblW w:w="13113" w:type="dxa"/>
        <w:jc w:val="center"/>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39"/>
        <w:gridCol w:w="4384"/>
        <w:gridCol w:w="809"/>
        <w:gridCol w:w="1034"/>
        <w:gridCol w:w="1701"/>
        <w:gridCol w:w="1701"/>
        <w:gridCol w:w="1559"/>
        <w:gridCol w:w="888"/>
        <w:gridCol w:w="598"/>
      </w:tblGrid>
      <w:tr>
        <w:trPr>
          <w:gridBefore w:val="1"/>
          <w:gridAfter w:val="1"/>
          <w:wBefore w:w="439" w:type="dxa"/>
          <w:wAfter w:w="598" w:type="dxa"/>
          <w:cantSplit/>
          <w:trHeight w:val="270" w:hRule="atLeast"/>
          <w:tblHeader/>
          <w:jc w:val="center"/>
        </w:trPr>
        <w:tc>
          <w:tcPr>
            <w:tcW w:w="5193" w:type="dxa"/>
            <w:gridSpan w:val="2"/>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212005唐山市统计局数据管理中心</w:t>
            </w:r>
          </w:p>
        </w:tc>
        <w:tc>
          <w:tcPr>
            <w:tcW w:w="6883" w:type="dxa"/>
            <w:gridSpan w:val="5"/>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1" w:hRule="atLeast"/>
          <w:tblHeader/>
          <w:jc w:val="center"/>
        </w:trPr>
        <w:tc>
          <w:tcPr>
            <w:tcW w:w="4823"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支出内容</w:t>
            </w:r>
          </w:p>
        </w:tc>
        <w:tc>
          <w:tcPr>
            <w:tcW w:w="8290" w:type="dxa"/>
            <w:gridSpan w:val="7"/>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4823" w:type="dxa"/>
            <w:gridSpan w:val="2"/>
            <w:vMerge w:val="continue"/>
            <w:vAlign w:val="center"/>
          </w:tcPr>
          <w:p>
            <w:pPr>
              <w:widowControl/>
              <w:jc w:val="center"/>
              <w:rPr>
                <w:rFonts w:ascii="黑体" w:hAnsi="黑体" w:eastAsia="黑体" w:cs="宋体"/>
                <w:b/>
                <w:color w:val="000000"/>
                <w:kern w:val="0"/>
                <w:szCs w:val="21"/>
              </w:rPr>
            </w:pPr>
          </w:p>
        </w:tc>
        <w:tc>
          <w:tcPr>
            <w:tcW w:w="1843"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7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559"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486"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4823" w:type="dxa"/>
            <w:gridSpan w:val="2"/>
            <w:vMerge w:val="continue"/>
            <w:vAlign w:val="center"/>
          </w:tcPr>
          <w:p>
            <w:pPr>
              <w:widowControl/>
              <w:jc w:val="center"/>
              <w:rPr>
                <w:rFonts w:ascii="宋体" w:hAnsi="宋体" w:cs="宋体"/>
                <w:b/>
                <w:color w:val="000000"/>
                <w:kern w:val="0"/>
                <w:sz w:val="22"/>
              </w:rPr>
            </w:pPr>
          </w:p>
        </w:tc>
        <w:tc>
          <w:tcPr>
            <w:tcW w:w="1843" w:type="dxa"/>
            <w:gridSpan w:val="2"/>
            <w:vMerge w:val="continue"/>
            <w:vAlign w:val="center"/>
          </w:tcPr>
          <w:p>
            <w:pPr>
              <w:widowControl/>
              <w:jc w:val="center"/>
              <w:rPr>
                <w:rFonts w:ascii="宋体" w:hAnsi="宋体" w:cs="宋体"/>
                <w:b/>
                <w:color w:val="000000"/>
                <w:kern w:val="0"/>
                <w:sz w:val="22"/>
              </w:rPr>
            </w:pPr>
          </w:p>
        </w:tc>
        <w:tc>
          <w:tcPr>
            <w:tcW w:w="1701" w:type="dxa"/>
            <w:vMerge w:val="continue"/>
            <w:vAlign w:val="center"/>
          </w:tcPr>
          <w:p>
            <w:pPr>
              <w:widowControl/>
              <w:jc w:val="center"/>
              <w:rPr>
                <w:rFonts w:ascii="宋体" w:hAnsi="宋体" w:cs="宋体"/>
                <w:b/>
                <w:color w:val="000000"/>
                <w:kern w:val="0"/>
                <w:sz w:val="22"/>
              </w:rPr>
            </w:pPr>
          </w:p>
        </w:tc>
        <w:tc>
          <w:tcPr>
            <w:tcW w:w="1701" w:type="dxa"/>
            <w:vMerge w:val="continue"/>
            <w:vAlign w:val="center"/>
          </w:tcPr>
          <w:p>
            <w:pPr>
              <w:widowControl/>
              <w:jc w:val="center"/>
              <w:rPr>
                <w:rFonts w:ascii="宋体" w:hAnsi="宋体" w:cs="宋体"/>
                <w:b/>
                <w:color w:val="000000"/>
                <w:kern w:val="0"/>
                <w:sz w:val="22"/>
              </w:rPr>
            </w:pPr>
          </w:p>
        </w:tc>
        <w:tc>
          <w:tcPr>
            <w:tcW w:w="1559" w:type="dxa"/>
            <w:vMerge w:val="continue"/>
            <w:vAlign w:val="center"/>
          </w:tcPr>
          <w:p>
            <w:pPr>
              <w:widowControl/>
              <w:jc w:val="center"/>
              <w:rPr>
                <w:rFonts w:ascii="宋体" w:hAnsi="宋体" w:cs="宋体"/>
                <w:b/>
                <w:color w:val="000000"/>
                <w:kern w:val="0"/>
                <w:sz w:val="22"/>
              </w:rPr>
            </w:pPr>
          </w:p>
        </w:tc>
        <w:tc>
          <w:tcPr>
            <w:tcW w:w="1486" w:type="dxa"/>
            <w:gridSpan w:val="2"/>
            <w:vMerge w:val="continue"/>
            <w:vAlign w:val="center"/>
          </w:tcPr>
          <w:p>
            <w:pPr>
              <w:widowControl/>
              <w:jc w:val="center"/>
              <w:rPr>
                <w:rFonts w:ascii="宋体" w:hAns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tblHeader/>
          <w:jc w:val="center"/>
        </w:trPr>
        <w:tc>
          <w:tcPr>
            <w:tcW w:w="4823" w:type="dxa"/>
            <w:gridSpan w:val="2"/>
            <w:vMerge w:val="continue"/>
            <w:vAlign w:val="center"/>
          </w:tcPr>
          <w:p>
            <w:pPr>
              <w:widowControl/>
              <w:jc w:val="left"/>
              <w:rPr>
                <w:rFonts w:ascii="宋体" w:hAnsi="宋体" w:cs="宋体"/>
                <w:color w:val="000000"/>
                <w:kern w:val="0"/>
                <w:szCs w:val="21"/>
              </w:rPr>
            </w:pPr>
          </w:p>
        </w:tc>
        <w:tc>
          <w:tcPr>
            <w:tcW w:w="1843" w:type="dxa"/>
            <w:gridSpan w:val="2"/>
            <w:vMerge w:val="continue"/>
            <w:vAlign w:val="center"/>
          </w:tcPr>
          <w:p>
            <w:pPr>
              <w:widowControl/>
              <w:jc w:val="righ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701" w:type="dxa"/>
            <w:vMerge w:val="continue"/>
            <w:vAlign w:val="center"/>
          </w:tcPr>
          <w:p>
            <w:pPr>
              <w:widowControl/>
              <w:jc w:val="right"/>
              <w:rPr>
                <w:rFonts w:ascii="宋体" w:hAnsi="宋体" w:cs="宋体"/>
                <w:color w:val="000000"/>
                <w:kern w:val="0"/>
                <w:szCs w:val="21"/>
              </w:rPr>
            </w:pPr>
          </w:p>
        </w:tc>
        <w:tc>
          <w:tcPr>
            <w:tcW w:w="1559" w:type="dxa"/>
            <w:vMerge w:val="continue"/>
            <w:vAlign w:val="center"/>
          </w:tcPr>
          <w:p>
            <w:pPr>
              <w:widowControl/>
              <w:jc w:val="right"/>
              <w:rPr>
                <w:rFonts w:ascii="宋体" w:hAnsi="宋体" w:cs="宋体"/>
                <w:color w:val="000000"/>
                <w:kern w:val="0"/>
                <w:szCs w:val="21"/>
              </w:rPr>
            </w:pPr>
          </w:p>
        </w:tc>
        <w:tc>
          <w:tcPr>
            <w:tcW w:w="1486" w:type="dxa"/>
            <w:gridSpan w:val="2"/>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一、“三公”经费小计</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3.53</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3.53</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（一）因公出国境费用</w:t>
            </w:r>
          </w:p>
        </w:tc>
        <w:tc>
          <w:tcPr>
            <w:tcW w:w="1843" w:type="dxa"/>
            <w:gridSpan w:val="2"/>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（二）公务用车购置及运维费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3.40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3.40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公务用车运行维护费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3.40</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3.40</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（三）公务接待费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0.13</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0.13</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二、会议费</w:t>
            </w:r>
          </w:p>
        </w:tc>
        <w:tc>
          <w:tcPr>
            <w:tcW w:w="1843" w:type="dxa"/>
            <w:gridSpan w:val="2"/>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三、培训费</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0.99</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0.99</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4823"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 xml:space="preserve">     合计</w:t>
            </w:r>
          </w:p>
        </w:tc>
        <w:tc>
          <w:tcPr>
            <w:tcW w:w="1843"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4.52</w:t>
            </w:r>
          </w:p>
        </w:tc>
        <w:tc>
          <w:tcPr>
            <w:tcW w:w="1701" w:type="dxa"/>
            <w:vAlign w:val="center"/>
          </w:tcPr>
          <w:p>
            <w:pPr>
              <w:widowControl/>
              <w:jc w:val="right"/>
              <w:rPr>
                <w:rFonts w:ascii="宋体" w:hAnsi="宋体" w:cs="宋体"/>
                <w:color w:val="000000"/>
                <w:kern w:val="0"/>
                <w:szCs w:val="21"/>
              </w:rPr>
            </w:pPr>
            <w:r>
              <w:rPr>
                <w:rFonts w:ascii="宋体" w:hAnsi="宋体" w:cs="宋体"/>
                <w:color w:val="000000"/>
                <w:kern w:val="0"/>
                <w:szCs w:val="21"/>
              </w:rPr>
              <w:t>4.52</w:t>
            </w:r>
          </w:p>
        </w:tc>
        <w:tc>
          <w:tcPr>
            <w:tcW w:w="1701" w:type="dxa"/>
            <w:vAlign w:val="center"/>
          </w:tcPr>
          <w:p>
            <w:pPr>
              <w:widowControl/>
              <w:jc w:val="right"/>
              <w:rPr>
                <w:rFonts w:ascii="宋体" w:hAnsi="宋体" w:cs="宋体"/>
                <w:color w:val="000000"/>
                <w:kern w:val="0"/>
                <w:szCs w:val="21"/>
              </w:rPr>
            </w:pPr>
          </w:p>
        </w:tc>
        <w:tc>
          <w:tcPr>
            <w:tcW w:w="1559" w:type="dxa"/>
            <w:vAlign w:val="center"/>
          </w:tcPr>
          <w:p>
            <w:pPr>
              <w:widowControl/>
              <w:jc w:val="right"/>
              <w:rPr>
                <w:rFonts w:ascii="宋体" w:hAnsi="宋体" w:cs="宋体"/>
                <w:color w:val="000000"/>
                <w:kern w:val="0"/>
                <w:szCs w:val="21"/>
              </w:rPr>
            </w:pPr>
          </w:p>
        </w:tc>
        <w:tc>
          <w:tcPr>
            <w:tcW w:w="1486"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41" w:type="default"/>
          <w:pgSz w:w="16838" w:h="11906" w:orient="landscape"/>
          <w:pgMar w:top="1800" w:right="1440" w:bottom="1800" w:left="1440" w:header="851" w:footer="992" w:gutter="0"/>
          <w:cols w:space="720" w:num="1"/>
          <w:docGrid w:type="lines" w:linePitch="312"/>
        </w:sectPr>
      </w:pPr>
    </w:p>
    <w:p>
      <w:pPr>
        <w:jc w:val="center"/>
        <w:rPr>
          <w:rFonts w:ascii="黑体" w:hAnsi="黑体" w:eastAsia="黑体"/>
          <w:b/>
          <w:sz w:val="32"/>
          <w:szCs w:val="32"/>
        </w:rPr>
      </w:pPr>
      <w:r>
        <w:rPr>
          <w:rFonts w:hint="eastAsia" w:ascii="黑体" w:hAnsi="黑体" w:eastAsia="黑体"/>
          <w:b/>
          <w:sz w:val="32"/>
          <w:szCs w:val="32"/>
        </w:rPr>
        <w:t>专项公用经费支出安排表</w:t>
      </w:r>
    </w:p>
    <w:tbl>
      <w:tblPr>
        <w:tblW w:w="13970" w:type="dxa"/>
        <w:jc w:val="center"/>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
        <w:gridCol w:w="1689"/>
        <w:gridCol w:w="5301"/>
        <w:gridCol w:w="1418"/>
        <w:gridCol w:w="1365"/>
        <w:gridCol w:w="52"/>
        <w:gridCol w:w="1418"/>
        <w:gridCol w:w="1417"/>
        <w:gridCol w:w="1105"/>
        <w:gridCol w:w="187"/>
      </w:tblGrid>
      <w:tr>
        <w:trPr>
          <w:gridBefore w:val="1"/>
          <w:gridAfter w:val="1"/>
          <w:wBefore w:w="18" w:type="dxa"/>
          <w:wAfter w:w="187" w:type="dxa"/>
          <w:cantSplit/>
          <w:trHeight w:val="270" w:hRule="atLeast"/>
          <w:tblHeader/>
          <w:jc w:val="center"/>
        </w:trPr>
        <w:tc>
          <w:tcPr>
            <w:tcW w:w="9773" w:type="dxa"/>
            <w:gridSpan w:val="4"/>
            <w:tcBorders>
              <w:top w:val="nil"/>
              <w:left w:val="nil"/>
              <w:right w:val="nil"/>
            </w:tcBorders>
            <w:shd w:val="clear" w:color="000000" w:fill="FFFFFF"/>
            <w:vAlign w:val="center"/>
          </w:tcPr>
          <w:p>
            <w:pPr>
              <w:widowControl/>
              <w:jc w:val="left"/>
              <w:rPr>
                <w:rFonts w:ascii="宋体" w:hAnsi="宋体" w:cs="宋体"/>
                <w:color w:val="000000"/>
                <w:kern w:val="0"/>
                <w:sz w:val="22"/>
              </w:rPr>
            </w:pPr>
            <w:r>
              <w:rPr>
                <w:rFonts w:ascii="宋体" w:hAnsi="宋体"/>
                <w:sz w:val="28"/>
              </w:rPr>
              <w:t>212005唐山市统计局数据管理中心</w:t>
            </w:r>
            <w:r>
              <w:rPr>
                <w:rFonts w:hint="eastAsia" w:ascii="宋体" w:hAnsi="宋体" w:cs="宋体"/>
                <w:color w:val="000000"/>
                <w:kern w:val="0"/>
                <w:sz w:val="22"/>
              </w:rPr>
              <w:t>　</w:t>
            </w:r>
          </w:p>
        </w:tc>
        <w:tc>
          <w:tcPr>
            <w:tcW w:w="3992" w:type="dxa"/>
            <w:gridSpan w:val="4"/>
            <w:tcBorders>
              <w:top w:val="nil"/>
              <w:left w:val="nil"/>
              <w:right w:val="nil"/>
            </w:tcBorders>
            <w:shd w:val="clear" w:color="000000" w:fill="FFFFFF"/>
            <w:vAlign w:val="center"/>
          </w:tcPr>
          <w:p>
            <w:pPr>
              <w:widowControl/>
              <w:jc w:val="right"/>
              <w:rPr>
                <w:rFonts w:ascii="宋体" w:hAnsi="宋体" w:cs="宋体"/>
                <w:color w:val="000000"/>
                <w:kern w:val="0"/>
                <w:sz w:val="22"/>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1" w:hRule="atLeast"/>
          <w:tblHeader/>
          <w:jc w:val="center"/>
        </w:trPr>
        <w:tc>
          <w:tcPr>
            <w:tcW w:w="1707"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功能分类科目编码</w:t>
            </w:r>
          </w:p>
        </w:tc>
        <w:tc>
          <w:tcPr>
            <w:tcW w:w="5301"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Arial"/>
                <w:b/>
                <w:bCs/>
                <w:kern w:val="0"/>
                <w:szCs w:val="21"/>
              </w:rPr>
              <w:t>预算支出项目</w:t>
            </w:r>
          </w:p>
        </w:tc>
        <w:tc>
          <w:tcPr>
            <w:tcW w:w="6962" w:type="dxa"/>
            <w:gridSpan w:val="7"/>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1707" w:type="dxa"/>
            <w:gridSpan w:val="2"/>
            <w:vMerge w:val="continue"/>
            <w:vAlign w:val="center"/>
          </w:tcPr>
          <w:p>
            <w:pPr>
              <w:widowControl/>
              <w:jc w:val="center"/>
              <w:rPr>
                <w:rFonts w:ascii="黑体" w:hAnsi="黑体" w:eastAsia="黑体" w:cs="宋体"/>
                <w:b/>
                <w:color w:val="000000"/>
                <w:kern w:val="0"/>
                <w:szCs w:val="21"/>
              </w:rPr>
            </w:pPr>
          </w:p>
        </w:tc>
        <w:tc>
          <w:tcPr>
            <w:tcW w:w="5301" w:type="dxa"/>
            <w:vMerge w:val="continue"/>
            <w:vAlign w:val="center"/>
          </w:tcPr>
          <w:p>
            <w:pPr>
              <w:widowControl/>
              <w:jc w:val="center"/>
              <w:rPr>
                <w:rFonts w:ascii="黑体" w:hAnsi="黑体" w:eastAsia="黑体" w:cs="宋体"/>
                <w:b/>
                <w:color w:val="000000"/>
                <w:kern w:val="0"/>
                <w:szCs w:val="21"/>
              </w:rPr>
            </w:pP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合计</w:t>
            </w:r>
          </w:p>
        </w:tc>
        <w:tc>
          <w:tcPr>
            <w:tcW w:w="1417"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一般公共预算拨款安排</w:t>
            </w:r>
          </w:p>
        </w:tc>
        <w:tc>
          <w:tcPr>
            <w:tcW w:w="1418"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政府性基金预算拨款安排</w:t>
            </w:r>
          </w:p>
        </w:tc>
        <w:tc>
          <w:tcPr>
            <w:tcW w:w="1417" w:type="dxa"/>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国有资本经营预算拨款安排</w:t>
            </w:r>
          </w:p>
        </w:tc>
        <w:tc>
          <w:tcPr>
            <w:tcW w:w="1292" w:type="dxa"/>
            <w:gridSpan w:val="2"/>
            <w:vMerge w:val="restart"/>
            <w:vAlign w:val="center"/>
          </w:tcPr>
          <w:p>
            <w:pPr>
              <w:widowControl/>
              <w:jc w:val="center"/>
              <w:rPr>
                <w:rFonts w:ascii="黑体" w:hAnsi="黑体" w:eastAsia="黑体" w:cs="宋体"/>
                <w:b/>
                <w:color w:val="000000"/>
                <w:kern w:val="0"/>
                <w:szCs w:val="21"/>
              </w:rPr>
            </w:pPr>
            <w:r>
              <w:rPr>
                <w:rFonts w:hint="eastAsia" w:ascii="黑体" w:hAnsi="黑体" w:eastAsia="黑体" w:cs="宋体"/>
                <w:b/>
                <w:color w:val="000000"/>
                <w:kern w:val="0"/>
                <w:szCs w:val="21"/>
              </w:rPr>
              <w:t>其他来源收入安排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74" w:hRule="atLeast"/>
          <w:tblHeader/>
          <w:jc w:val="center"/>
        </w:trPr>
        <w:tc>
          <w:tcPr>
            <w:tcW w:w="1707" w:type="dxa"/>
            <w:gridSpan w:val="2"/>
            <w:vMerge w:val="continue"/>
            <w:vAlign w:val="center"/>
          </w:tcPr>
          <w:p>
            <w:pPr>
              <w:widowControl/>
              <w:jc w:val="center"/>
              <w:rPr>
                <w:rFonts w:ascii="宋体" w:hAnsi="宋体" w:cs="宋体"/>
                <w:b/>
                <w:color w:val="000000"/>
                <w:kern w:val="0"/>
                <w:sz w:val="22"/>
              </w:rPr>
            </w:pPr>
          </w:p>
        </w:tc>
        <w:tc>
          <w:tcPr>
            <w:tcW w:w="5301" w:type="dxa"/>
            <w:vMerge w:val="continue"/>
            <w:vAlign w:val="center"/>
          </w:tcPr>
          <w:p>
            <w:pPr>
              <w:widowControl/>
              <w:jc w:val="center"/>
              <w:rPr>
                <w:rFonts w:ascii="宋体" w:hAnsi="宋体" w:cs="宋体"/>
                <w:b/>
                <w:color w:val="000000"/>
                <w:kern w:val="0"/>
                <w:sz w:val="22"/>
              </w:rPr>
            </w:pPr>
          </w:p>
        </w:tc>
        <w:tc>
          <w:tcPr>
            <w:tcW w:w="1418" w:type="dxa"/>
            <w:vMerge w:val="continue"/>
            <w:vAlign w:val="center"/>
          </w:tcPr>
          <w:p>
            <w:pPr>
              <w:widowControl/>
              <w:jc w:val="center"/>
              <w:rPr>
                <w:rFonts w:ascii="宋体" w:hAnsi="宋体" w:cs="宋体"/>
                <w:b/>
                <w:color w:val="000000"/>
                <w:kern w:val="0"/>
                <w:sz w:val="22"/>
              </w:rPr>
            </w:pPr>
          </w:p>
        </w:tc>
        <w:tc>
          <w:tcPr>
            <w:tcW w:w="1417" w:type="dxa"/>
            <w:gridSpan w:val="2"/>
            <w:vMerge w:val="continue"/>
            <w:vAlign w:val="center"/>
          </w:tcPr>
          <w:p>
            <w:pPr>
              <w:widowControl/>
              <w:jc w:val="center"/>
              <w:rPr>
                <w:rFonts w:ascii="宋体" w:hAnsi="宋体" w:cs="宋体"/>
                <w:b/>
                <w:color w:val="000000"/>
                <w:kern w:val="0"/>
                <w:sz w:val="22"/>
              </w:rPr>
            </w:pPr>
          </w:p>
        </w:tc>
        <w:tc>
          <w:tcPr>
            <w:tcW w:w="1418" w:type="dxa"/>
            <w:vMerge w:val="continue"/>
            <w:vAlign w:val="center"/>
          </w:tcPr>
          <w:p>
            <w:pPr>
              <w:widowControl/>
              <w:jc w:val="center"/>
              <w:rPr>
                <w:rFonts w:ascii="宋体" w:hAnsi="宋体" w:cs="宋体"/>
                <w:b/>
                <w:color w:val="000000"/>
                <w:kern w:val="0"/>
                <w:sz w:val="22"/>
              </w:rPr>
            </w:pPr>
          </w:p>
        </w:tc>
        <w:tc>
          <w:tcPr>
            <w:tcW w:w="1417" w:type="dxa"/>
            <w:vMerge w:val="continue"/>
            <w:vAlign w:val="center"/>
          </w:tcPr>
          <w:p>
            <w:pPr>
              <w:widowControl/>
              <w:jc w:val="center"/>
              <w:rPr>
                <w:rFonts w:ascii="宋体" w:hAnsi="宋体" w:cs="宋体"/>
                <w:b/>
                <w:color w:val="000000"/>
                <w:kern w:val="0"/>
                <w:sz w:val="22"/>
              </w:rPr>
            </w:pPr>
          </w:p>
        </w:tc>
        <w:tc>
          <w:tcPr>
            <w:tcW w:w="1292" w:type="dxa"/>
            <w:gridSpan w:val="2"/>
            <w:vMerge w:val="continue"/>
            <w:vAlign w:val="center"/>
          </w:tcPr>
          <w:p>
            <w:pPr>
              <w:widowControl/>
              <w:jc w:val="center"/>
              <w:rPr>
                <w:rFonts w:ascii="宋体" w:hAns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tblHeader/>
          <w:jc w:val="center"/>
        </w:trPr>
        <w:tc>
          <w:tcPr>
            <w:tcW w:w="1707" w:type="dxa"/>
            <w:gridSpan w:val="2"/>
            <w:vMerge w:val="continue"/>
            <w:vAlign w:val="center"/>
          </w:tcPr>
          <w:p>
            <w:pPr>
              <w:widowControl/>
              <w:jc w:val="left"/>
              <w:rPr>
                <w:rFonts w:ascii="宋体" w:hAnsi="宋体" w:cs="宋体"/>
                <w:color w:val="000000"/>
                <w:kern w:val="0"/>
                <w:szCs w:val="21"/>
              </w:rPr>
            </w:pPr>
          </w:p>
        </w:tc>
        <w:tc>
          <w:tcPr>
            <w:tcW w:w="5301" w:type="dxa"/>
            <w:vMerge w:val="continue"/>
            <w:vAlign w:val="center"/>
          </w:tcPr>
          <w:p>
            <w:pPr>
              <w:widowControl/>
              <w:jc w:val="lef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gridSpan w:val="2"/>
            <w:vMerge w:val="continue"/>
            <w:vAlign w:val="center"/>
          </w:tcPr>
          <w:p>
            <w:pPr>
              <w:widowControl/>
              <w:jc w:val="righ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1417" w:type="dxa"/>
            <w:vMerge w:val="continue"/>
            <w:vAlign w:val="center"/>
          </w:tcPr>
          <w:p>
            <w:pPr>
              <w:widowControl/>
              <w:jc w:val="right"/>
              <w:rPr>
                <w:rFonts w:ascii="宋体" w:hAnsi="宋体" w:cs="宋体"/>
                <w:color w:val="000000"/>
                <w:kern w:val="0"/>
                <w:szCs w:val="21"/>
              </w:rPr>
            </w:pPr>
          </w:p>
        </w:tc>
        <w:tc>
          <w:tcPr>
            <w:tcW w:w="1292" w:type="dxa"/>
            <w:gridSpan w:val="2"/>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专项公用经费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25.36</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25.36</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2" w:hRule="atLeast"/>
          <w:jc w:val="center"/>
        </w:trPr>
        <w:tc>
          <w:tcPr>
            <w:tcW w:w="1707" w:type="dxa"/>
            <w:gridSpan w:val="2"/>
            <w:vAlign w:val="center"/>
          </w:tcPr>
          <w:p>
            <w:pPr>
              <w:widowControl/>
              <w:jc w:val="left"/>
              <w:rPr>
                <w:rFonts w:ascii="宋体" w:hAnsi="宋体" w:cs="宋体"/>
                <w:color w:val="000000"/>
                <w:kern w:val="0"/>
                <w:szCs w:val="21"/>
              </w:rPr>
            </w:pPr>
            <w:r>
              <w:rPr>
                <w:rFonts w:ascii="宋体" w:hAnsi="宋体" w:cs="宋体"/>
                <w:color w:val="000000"/>
                <w:kern w:val="0"/>
                <w:szCs w:val="21"/>
              </w:rPr>
              <w:t>2010550</w:t>
            </w:r>
          </w:p>
        </w:tc>
        <w:tc>
          <w:tcPr>
            <w:tcW w:w="5301"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数管中心全市统计系统数据库网络传输租费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25.36</w:t>
            </w:r>
          </w:p>
        </w:tc>
        <w:tc>
          <w:tcPr>
            <w:tcW w:w="1417" w:type="dxa"/>
            <w:gridSpan w:val="2"/>
            <w:vAlign w:val="center"/>
          </w:tcPr>
          <w:p>
            <w:pPr>
              <w:widowControl/>
              <w:jc w:val="right"/>
              <w:rPr>
                <w:rFonts w:ascii="宋体" w:hAnsi="宋体" w:cs="宋体"/>
                <w:color w:val="000000"/>
                <w:kern w:val="0"/>
                <w:szCs w:val="21"/>
              </w:rPr>
            </w:pPr>
            <w:r>
              <w:rPr>
                <w:rFonts w:ascii="宋体" w:hAnsi="宋体" w:cs="宋体"/>
                <w:color w:val="000000"/>
                <w:kern w:val="0"/>
                <w:szCs w:val="21"/>
              </w:rPr>
              <w:t>25.36</w:t>
            </w:r>
          </w:p>
        </w:tc>
        <w:tc>
          <w:tcPr>
            <w:tcW w:w="1418" w:type="dxa"/>
            <w:vAlign w:val="center"/>
          </w:tcPr>
          <w:p>
            <w:pPr>
              <w:widowControl/>
              <w:jc w:val="right"/>
              <w:rPr>
                <w:rFonts w:ascii="宋体" w:hAnsi="宋体" w:cs="宋体"/>
                <w:color w:val="000000"/>
                <w:kern w:val="0"/>
                <w:szCs w:val="21"/>
              </w:rPr>
            </w:pPr>
          </w:p>
        </w:tc>
        <w:tc>
          <w:tcPr>
            <w:tcW w:w="1417" w:type="dxa"/>
            <w:vAlign w:val="center"/>
          </w:tcPr>
          <w:p>
            <w:pPr>
              <w:widowControl/>
              <w:jc w:val="right"/>
              <w:rPr>
                <w:rFonts w:ascii="宋体" w:hAnsi="宋体" w:cs="宋体"/>
                <w:color w:val="000000"/>
                <w:kern w:val="0"/>
                <w:szCs w:val="21"/>
              </w:rPr>
            </w:pPr>
          </w:p>
        </w:tc>
        <w:tc>
          <w:tcPr>
            <w:tcW w:w="1292" w:type="dxa"/>
            <w:gridSpan w:val="2"/>
            <w:vAlign w:val="center"/>
          </w:tcPr>
          <w:p>
            <w:pPr>
              <w:widowControl/>
              <w:jc w:val="right"/>
              <w:rPr>
                <w:rFonts w:ascii="宋体" w:hAnsi="宋体" w:cs="宋体"/>
                <w:color w:val="000000"/>
                <w:kern w:val="0"/>
                <w:szCs w:val="21"/>
              </w:rPr>
            </w:pPr>
          </w:p>
        </w:tc>
      </w:tr>
    </w:tbl>
    <w:p>
      <w:pPr>
        <w:spacing w:line="20" w:lineRule="exact"/>
      </w:pPr>
    </w:p>
    <w:p>
      <w:pPr>
        <w:spacing w:line="360" w:lineRule="auto"/>
        <w:jc w:val="left"/>
        <w:sectPr>
          <w:headerReference r:id="rId42" w:type="default"/>
          <w:pgSz w:w="16838" w:h="11906" w:orient="landscape"/>
          <w:pgMar w:top="1800" w:right="1440" w:bottom="1800" w:left="144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人员经费计算依据情况表</w:t>
      </w:r>
    </w:p>
    <w:tbl>
      <w:tblPr>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0"/>
        <w:gridCol w:w="4961"/>
        <w:gridCol w:w="992"/>
        <w:gridCol w:w="993"/>
        <w:gridCol w:w="1619"/>
        <w:gridCol w:w="24"/>
      </w:tblGrid>
      <w:tr>
        <w:trPr>
          <w:cantSplit/>
          <w:trHeight w:val="312" w:hRule="atLeast"/>
          <w:tblHeader/>
          <w:jc w:val="center"/>
        </w:trPr>
        <w:tc>
          <w:tcPr>
            <w:tcW w:w="7816" w:type="dxa"/>
            <w:gridSpan w:val="4"/>
            <w:tcBorders>
              <w:top w:val="nil"/>
              <w:left w:val="nil"/>
              <w:right w:val="nil"/>
            </w:tcBorders>
            <w:vAlign w:val="center"/>
          </w:tcPr>
          <w:p>
            <w:pPr>
              <w:widowControl/>
              <w:jc w:val="left"/>
              <w:rPr>
                <w:rFonts w:ascii="黑体" w:eastAsia="黑体"/>
                <w:b/>
              </w:rPr>
            </w:pPr>
            <w:r>
              <w:rPr>
                <w:rFonts w:ascii="宋体" w:hAnsi="宋体"/>
                <w:sz w:val="28"/>
              </w:rPr>
              <w:t>212005唐山市统计局数据管理中心</w:t>
            </w:r>
          </w:p>
        </w:tc>
        <w:tc>
          <w:tcPr>
            <w:tcW w:w="1643" w:type="dxa"/>
            <w:gridSpan w:val="2"/>
            <w:tcBorders>
              <w:top w:val="nil"/>
              <w:left w:val="nil"/>
              <w:right w:val="nil"/>
            </w:tcBorders>
            <w:vAlign w:val="center"/>
          </w:tcPr>
          <w:p>
            <w:pPr>
              <w:widowControl/>
              <w:jc w:val="right"/>
              <w:rPr>
                <w:rFonts w:ascii="黑体" w:eastAsia="黑体"/>
                <w:b/>
              </w:rPr>
            </w:pPr>
            <w:r>
              <w:rPr>
                <w:rFonts w:hint="eastAsia" w:ascii="宋体" w:hAnsi="宋体"/>
                <w:sz w:val="24"/>
              </w:rPr>
              <w:t>单位：人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496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99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61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tblHeader/>
          <w:jc w:val="center"/>
        </w:trPr>
        <w:tc>
          <w:tcPr>
            <w:tcW w:w="87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49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16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单位性质</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事业单位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单位规格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正科级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编制人数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11</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实有人数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10</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在职实有人数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10</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10</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非在职人数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离休人员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退休人员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公务员、事业单位管理人员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专业技术人员、技术工人、普通工人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实有编外人员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其中：劳务派遣</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其中：人事代理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其中：其他编外人员</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19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遗属</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hint="eastAsia" w:ascii="宋体" w:hAnsi="宋体" w:cs="宋体"/>
                <w:bCs/>
                <w:color w:val="000000"/>
                <w:kern w:val="0"/>
                <w:sz w:val="22"/>
              </w:rPr>
              <w:t>预算年度全日制在校学生人数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21</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1、本科生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2、专科生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3、高中生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4、中专生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5、体校生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6、技校生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27</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7、函授生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28</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8、夜大生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29</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9、初中生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30</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10、小学生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gridAfter w:val="1"/>
          <w:wAfter w:w="24" w:type="dxa"/>
          <w:cantSplit/>
          <w:trHeight w:val="312" w:hRule="atLeast"/>
          <w:jc w:val="center"/>
        </w:trPr>
        <w:tc>
          <w:tcPr>
            <w:tcW w:w="87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r>
              <w:rPr>
                <w:rFonts w:ascii="宋体" w:hAnsi="宋体" w:cs="宋体"/>
                <w:bCs/>
                <w:color w:val="000000"/>
                <w:kern w:val="0"/>
                <w:sz w:val="22"/>
              </w:rPr>
              <w:t>31</w:t>
            </w:r>
          </w:p>
        </w:tc>
        <w:tc>
          <w:tcPr>
            <w:tcW w:w="4961"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r>
              <w:rPr>
                <w:rFonts w:ascii="宋体" w:hAnsi="宋体" w:cs="宋体"/>
                <w:bCs/>
                <w:color w:val="000000"/>
                <w:kern w:val="0"/>
                <w:sz w:val="22"/>
              </w:rPr>
              <w:t xml:space="preserve"> 11、幼儿</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993"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Cs/>
                <w:color w:val="000000"/>
                <w:kern w:val="0"/>
                <w:sz w:val="22"/>
              </w:rPr>
            </w:pPr>
          </w:p>
        </w:tc>
        <w:tc>
          <w:tcPr>
            <w:tcW w:w="1619" w:type="dxa"/>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Cs/>
                <w:color w:val="000000"/>
                <w:kern w:val="0"/>
                <w:sz w:val="22"/>
              </w:rPr>
            </w:pPr>
          </w:p>
        </w:tc>
      </w:tr>
    </w:tbl>
    <w:p/>
    <w:p>
      <w:pPr>
        <w:spacing w:line="360" w:lineRule="auto"/>
        <w:jc w:val="left"/>
        <w:sectPr>
          <w:headerReference r:id="rId43" w:type="default"/>
          <w:pgSz w:w="11906" w:h="16838"/>
          <w:pgMar w:top="1440" w:right="1800" w:bottom="1440" w:left="1800" w:header="851" w:footer="992" w:gutter="0"/>
          <w:cols w:space="720" w:num="1"/>
          <w:docGrid w:type="lines" w:linePitch="312"/>
        </w:sectPr>
      </w:pPr>
    </w:p>
    <w:p>
      <w:pPr>
        <w:jc w:val="center"/>
        <w:rPr>
          <w:rFonts w:ascii="黑体" w:eastAsia="黑体"/>
          <w:sz w:val="32"/>
          <w:szCs w:val="32"/>
        </w:rPr>
      </w:pPr>
      <w:r>
        <w:rPr>
          <w:rFonts w:hint="eastAsia" w:ascii="黑体" w:eastAsia="黑体"/>
          <w:sz w:val="32"/>
          <w:szCs w:val="32"/>
        </w:rPr>
        <w:t>正常公用经费计算依据情况表</w:t>
      </w:r>
    </w:p>
    <w:tbl>
      <w:tblPr>
        <w:tblW w:w="9497" w:type="dxa"/>
        <w:jc w:val="center"/>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50"/>
        <w:gridCol w:w="3597"/>
        <w:gridCol w:w="1276"/>
        <w:gridCol w:w="1222"/>
        <w:gridCol w:w="1134"/>
        <w:gridCol w:w="1418"/>
      </w:tblGrid>
      <w:tr>
        <w:trPr>
          <w:cantSplit/>
          <w:trHeight w:val="312" w:hRule="atLeast"/>
          <w:tblHeader/>
          <w:jc w:val="center"/>
        </w:trPr>
        <w:tc>
          <w:tcPr>
            <w:tcW w:w="9497" w:type="dxa"/>
            <w:gridSpan w:val="6"/>
            <w:tcBorders>
              <w:bottom w:val="single" w:color="auto" w:sz="4" w:space="0"/>
            </w:tcBorders>
            <w:vAlign w:val="center"/>
          </w:tcPr>
          <w:p>
            <w:pPr>
              <w:widowControl/>
              <w:jc w:val="left"/>
              <w:rPr>
                <w:rFonts w:ascii="黑体" w:hAnsi="黑体" w:eastAsia="黑体" w:cs="宋体"/>
                <w:b/>
                <w:bCs/>
                <w:color w:val="000000"/>
                <w:kern w:val="0"/>
                <w:szCs w:val="21"/>
              </w:rPr>
            </w:pPr>
            <w:r>
              <w:rPr>
                <w:rFonts w:ascii="宋体" w:hAnsi="宋体"/>
                <w:sz w:val="28"/>
              </w:rPr>
              <w:t>212005唐山市统计局数据管理中心</w:t>
            </w:r>
          </w:p>
        </w:tc>
      </w:tr>
      <w:tr>
        <w:trPr>
          <w:cantSplit/>
          <w:trHeight w:val="312" w:hRule="atLeast"/>
          <w:tblHeader/>
          <w:jc w:val="center"/>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序号</w:t>
            </w:r>
          </w:p>
        </w:tc>
        <w:tc>
          <w:tcPr>
            <w:tcW w:w="35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   目</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计量单位</w:t>
            </w:r>
          </w:p>
        </w:tc>
        <w:tc>
          <w:tcPr>
            <w:tcW w:w="12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现有数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核定数</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备  注</w:t>
            </w:r>
          </w:p>
        </w:tc>
      </w:tr>
      <w:tr>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Cs w:val="21"/>
              </w:rPr>
            </w:pPr>
          </w:p>
        </w:tc>
      </w:tr>
      <w:tr>
        <w:trPr>
          <w:cantSplit/>
          <w:trHeight w:val="312" w:hRule="atLeast"/>
          <w:tblHeader/>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35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单位性质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事业单位</w:t>
            </w: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单位内设机构数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编制人数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在职实有人数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其中：在职正省级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在职副省级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在职正厅级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在职副厅级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在职正处级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在职副处级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在职其他</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非在职人数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待分流</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分流学习</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病休</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提前离岗</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离休实有人数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退休实有人数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实有编外人员</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其中：劳务派遣</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22</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其中：人事代理</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23</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其中：其他编外人员</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人</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车辆编制数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25</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实有车辆数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26</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小轿车</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27</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越野车</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28</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旅行车（大）</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29</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旅行车（中）</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30</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旅行车（小）</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艘</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31</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其他</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辆</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rPr>
          <w:cantSplit/>
          <w:trHeight w:val="3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34</w:t>
            </w:r>
          </w:p>
        </w:tc>
        <w:tc>
          <w:tcPr>
            <w:tcW w:w="35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办公使用面积</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平方米</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
      <w:pPr>
        <w:spacing w:line="360" w:lineRule="auto"/>
        <w:jc w:val="left"/>
        <w:sectPr>
          <w:headerReference r:id="rId44" w:type="default"/>
          <w:pgSz w:w="11906" w:h="16838"/>
          <w:pgMar w:top="1440" w:right="1800" w:bottom="1440" w:left="1800" w:header="851" w:footer="992" w:gutter="0"/>
          <w:cols w:space="720" w:num="1"/>
          <w:docGrid w:type="lines" w:linePitch="312"/>
        </w:sectPr>
      </w:pPr>
    </w:p>
    <w:p>
      <w:pPr>
        <w:spacing w:line="360" w:lineRule="auto"/>
        <w:jc w:val="center"/>
        <w:rPr>
          <w:rFonts w:ascii="宋体" w:hAnsi="宋体"/>
          <w:b/>
          <w:color w:val="000000"/>
          <w:sz w:val="44"/>
        </w:rPr>
      </w:pPr>
      <w:r>
        <w:rPr>
          <w:rFonts w:ascii="宋体" w:hAnsi="宋体"/>
          <w:b/>
          <w:color w:val="000000"/>
          <w:sz w:val="44"/>
        </w:rPr>
        <w:t>唐山市统计局数据管理中心收支预算说明</w:t>
      </w:r>
    </w:p>
    <w:p>
      <w:pPr>
        <w:spacing w:line="480" w:lineRule="auto"/>
        <w:jc w:val="left"/>
        <w:rPr>
          <w:rFonts w:ascii="宋体" w:hAnsi="宋体"/>
          <w:b/>
          <w:color w:val="000000"/>
          <w:sz w:val="28"/>
        </w:rPr>
      </w:pPr>
      <w:r>
        <w:rPr>
          <w:rFonts w:ascii="宋体" w:hAnsi="宋体"/>
          <w:b/>
          <w:color w:val="000000"/>
          <w:sz w:val="28"/>
        </w:rPr>
        <w:t>一、收入预算说明</w:t>
      </w:r>
    </w:p>
    <w:p/>
    <w:p>
      <w:pPr>
        <w:spacing w:line="360" w:lineRule="auto"/>
        <w:jc w:val="left"/>
        <w:rPr>
          <w:rFonts w:ascii="宋体" w:hAnsi="宋体"/>
          <w:b/>
          <w:color w:val="000000"/>
          <w:sz w:val="28"/>
        </w:rPr>
      </w:pPr>
      <w:r>
        <w:rPr>
          <w:rFonts w:ascii="宋体" w:hAnsi="宋体"/>
          <w:b/>
          <w:color w:val="000000"/>
          <w:sz w:val="28"/>
        </w:rPr>
        <w:t>二、支出预算说明</w:t>
      </w:r>
    </w:p>
    <w:p>
      <w:pPr>
        <w:spacing w:line="480" w:lineRule="auto"/>
        <w:jc w:val="left"/>
        <w:rPr>
          <w:rFonts w:ascii="宋体" w:hAnsi="宋体"/>
          <w:b/>
          <w:color w:val="000000"/>
          <w:sz w:val="28"/>
        </w:rPr>
      </w:pPr>
      <w:r>
        <w:rPr>
          <w:rFonts w:ascii="宋体" w:hAnsi="宋体"/>
          <w:b/>
          <w:color w:val="000000"/>
          <w:sz w:val="28"/>
        </w:rPr>
        <w:t>（一）专项公用经费项目安排说明</w:t>
      </w:r>
    </w:p>
    <w:p>
      <w:pPr>
        <w:spacing w:line="360" w:lineRule="auto"/>
        <w:jc w:val="left"/>
        <w:sectPr>
          <w:pgSz w:w="11906" w:h="16838"/>
          <w:pgMar w:top="1440" w:right="1800" w:bottom="1440" w:left="1800" w:header="851" w:footer="992" w:gutter="0"/>
          <w:cols w:space="720" w:num="1"/>
          <w:docGrid w:type="lines" w:linePitch="312"/>
        </w:sectPr>
      </w:pPr>
    </w:p>
    <w:p>
      <w:pPr>
        <w:jc w:val="center"/>
        <w:rPr>
          <w:rFonts w:ascii="黑体" w:eastAsia="黑体"/>
          <w:b/>
          <w:sz w:val="32"/>
          <w:szCs w:val="32"/>
        </w:rPr>
      </w:pPr>
      <w:r>
        <w:rPr>
          <w:rFonts w:hint="eastAsia" w:ascii="黑体" w:eastAsia="黑体"/>
          <w:b/>
          <w:sz w:val="32"/>
          <w:szCs w:val="32"/>
        </w:rPr>
        <w:t>单位专项公用经费安排说明</w:t>
      </w:r>
    </w:p>
    <w:tbl>
      <w:tblPr>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85" w:type="dxa"/>
          <w:bottom w:w="57" w:type="dxa"/>
          <w:right w:w="85" w:type="dxa"/>
        </w:tblCellMar>
      </w:tblPr>
      <w:tblGrid>
        <w:gridCol w:w="1809"/>
        <w:gridCol w:w="2268"/>
        <w:gridCol w:w="1418"/>
        <w:gridCol w:w="247"/>
        <w:gridCol w:w="8432"/>
      </w:tblGrid>
      <w:tr>
        <w:trPr>
          <w:cantSplit/>
          <w:trHeight w:val="312" w:hRule="atLeast"/>
          <w:tblHeader/>
          <w:jc w:val="center"/>
        </w:trPr>
        <w:tc>
          <w:tcPr>
            <w:tcW w:w="5742" w:type="dxa"/>
            <w:gridSpan w:val="4"/>
            <w:tcBorders>
              <w:bottom w:val="single" w:color="auto" w:sz="4" w:space="0"/>
            </w:tcBorders>
            <w:vAlign w:val="center"/>
          </w:tcPr>
          <w:p>
            <w:pPr>
              <w:widowControl/>
              <w:jc w:val="left"/>
              <w:rPr>
                <w:rFonts w:ascii="黑体" w:hAnsi="黑体" w:eastAsia="黑体" w:cs="宋体"/>
                <w:b/>
                <w:color w:val="000000"/>
                <w:kern w:val="0"/>
                <w:szCs w:val="21"/>
              </w:rPr>
            </w:pPr>
            <w:r>
              <w:rPr>
                <w:rFonts w:ascii="宋体" w:hAnsi="宋体"/>
                <w:sz w:val="28"/>
              </w:rPr>
              <w:t>212005唐山市统计局数据管理中心</w:t>
            </w:r>
          </w:p>
        </w:tc>
        <w:tc>
          <w:tcPr>
            <w:tcW w:w="8432" w:type="dxa"/>
            <w:tcBorders>
              <w:bottom w:val="single" w:color="auto" w:sz="4" w:space="0"/>
            </w:tcBorders>
            <w:vAlign w:val="center"/>
          </w:tcPr>
          <w:p>
            <w:pPr>
              <w:widowControl/>
              <w:jc w:val="right"/>
              <w:rPr>
                <w:rFonts w:ascii="黑体" w:hAnsi="黑体" w:eastAsia="黑体" w:cs="宋体"/>
                <w:b/>
                <w:color w:val="000000"/>
                <w:kern w:val="0"/>
                <w:szCs w:val="21"/>
              </w:rPr>
            </w:pPr>
            <w:r>
              <w:rPr>
                <w:rFonts w:ascii="宋体" w:hAnsi="宋体"/>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项目编码</w:t>
            </w:r>
          </w:p>
        </w:tc>
        <w:tc>
          <w:tcPr>
            <w:tcW w:w="2268"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项目名称</w:t>
            </w:r>
          </w:p>
        </w:tc>
        <w:tc>
          <w:tcPr>
            <w:tcW w:w="1418" w:type="dxa"/>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项目总计</w:t>
            </w:r>
          </w:p>
        </w:tc>
        <w:tc>
          <w:tcPr>
            <w:tcW w:w="8679" w:type="dxa"/>
            <w:gridSpan w:val="2"/>
            <w:vMerge w:val="restart"/>
            <w:vAlign w:val="center"/>
          </w:tcPr>
          <w:p>
            <w:pPr>
              <w:widowControl/>
              <w:jc w:val="center"/>
              <w:rPr>
                <w:rFonts w:ascii="黑体" w:hAnsi="黑体" w:eastAsia="黑体" w:cs="宋体"/>
                <w:b/>
                <w:bCs/>
                <w:color w:val="000000"/>
                <w:kern w:val="0"/>
                <w:szCs w:val="21"/>
              </w:rPr>
            </w:pPr>
            <w:r>
              <w:rPr>
                <w:rFonts w:hint="eastAsia" w:ascii="黑体" w:hAnsi="黑体" w:eastAsia="黑体" w:cs="宋体"/>
                <w:b/>
                <w:color w:val="000000"/>
                <w:kern w:val="0"/>
                <w:szCs w:val="21"/>
              </w:rPr>
              <w:t>项目文本说明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continue"/>
            <w:vAlign w:val="center"/>
          </w:tcPr>
          <w:p>
            <w:pPr>
              <w:widowControl/>
              <w:jc w:val="center"/>
              <w:rPr>
                <w:rFonts w:ascii="黑体" w:hAnsi="黑体" w:eastAsia="黑体" w:cs="宋体"/>
                <w:b/>
                <w:bCs/>
                <w:color w:val="000000"/>
                <w:kern w:val="0"/>
                <w:szCs w:val="21"/>
              </w:rPr>
            </w:pPr>
          </w:p>
        </w:tc>
        <w:tc>
          <w:tcPr>
            <w:tcW w:w="2268" w:type="dxa"/>
            <w:vMerge w:val="continue"/>
            <w:vAlign w:val="center"/>
          </w:tcPr>
          <w:p>
            <w:pPr>
              <w:widowControl/>
              <w:jc w:val="center"/>
              <w:rPr>
                <w:rFonts w:ascii="黑体" w:hAnsi="黑体" w:eastAsia="黑体" w:cs="宋体"/>
                <w:b/>
                <w:bCs/>
                <w:color w:val="000000"/>
                <w:kern w:val="0"/>
                <w:szCs w:val="21"/>
              </w:rPr>
            </w:pPr>
          </w:p>
        </w:tc>
        <w:tc>
          <w:tcPr>
            <w:tcW w:w="1418" w:type="dxa"/>
            <w:vMerge w:val="continue"/>
            <w:vAlign w:val="center"/>
          </w:tcPr>
          <w:p>
            <w:pPr>
              <w:widowControl/>
              <w:jc w:val="center"/>
              <w:rPr>
                <w:rFonts w:ascii="黑体" w:hAnsi="黑体" w:eastAsia="黑体" w:cs="宋体"/>
                <w:b/>
                <w:bCs/>
                <w:color w:val="000000"/>
                <w:kern w:val="0"/>
                <w:szCs w:val="21"/>
              </w:rPr>
            </w:pPr>
          </w:p>
        </w:tc>
        <w:tc>
          <w:tcPr>
            <w:tcW w:w="8679" w:type="dxa"/>
            <w:gridSpan w:val="2"/>
            <w:vMerge w:val="continue"/>
            <w:vAlign w:val="center"/>
          </w:tcPr>
          <w:p>
            <w:pPr>
              <w:widowControl/>
              <w:jc w:val="center"/>
              <w:rPr>
                <w:rFonts w:ascii="黑体" w:hAnsi="黑体" w:eastAsia="黑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Merge w:val="continue"/>
            <w:vAlign w:val="center"/>
          </w:tcPr>
          <w:p>
            <w:pPr>
              <w:widowControl/>
              <w:jc w:val="left"/>
              <w:rPr>
                <w:rFonts w:ascii="宋体" w:hAnsi="宋体" w:cs="宋体"/>
                <w:color w:val="000000"/>
                <w:kern w:val="0"/>
                <w:szCs w:val="21"/>
              </w:rPr>
            </w:pPr>
          </w:p>
        </w:tc>
        <w:tc>
          <w:tcPr>
            <w:tcW w:w="2268" w:type="dxa"/>
            <w:vMerge w:val="continue"/>
            <w:vAlign w:val="center"/>
          </w:tcPr>
          <w:p>
            <w:pPr>
              <w:widowControl/>
              <w:jc w:val="left"/>
              <w:rPr>
                <w:rFonts w:ascii="宋体" w:hAnsi="宋体" w:cs="宋体"/>
                <w:color w:val="000000"/>
                <w:kern w:val="0"/>
                <w:szCs w:val="21"/>
              </w:rPr>
            </w:pPr>
          </w:p>
        </w:tc>
        <w:tc>
          <w:tcPr>
            <w:tcW w:w="1418" w:type="dxa"/>
            <w:vMerge w:val="continue"/>
            <w:vAlign w:val="center"/>
          </w:tcPr>
          <w:p>
            <w:pPr>
              <w:widowControl/>
              <w:jc w:val="right"/>
              <w:rPr>
                <w:rFonts w:ascii="宋体" w:hAnsi="宋体" w:cs="宋体"/>
                <w:color w:val="000000"/>
                <w:kern w:val="0"/>
                <w:szCs w:val="21"/>
              </w:rPr>
            </w:pPr>
          </w:p>
        </w:tc>
        <w:tc>
          <w:tcPr>
            <w:tcW w:w="8679" w:type="dxa"/>
            <w:gridSpan w:val="2"/>
            <w:vMerge w:val="continue"/>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809" w:type="dxa"/>
            <w:vAlign w:val="center"/>
          </w:tcPr>
          <w:p>
            <w:pPr>
              <w:widowControl/>
              <w:jc w:val="left"/>
              <w:rPr>
                <w:rFonts w:ascii="宋体" w:hAnsi="宋体" w:cs="宋体"/>
                <w:color w:val="000000"/>
                <w:kern w:val="0"/>
                <w:szCs w:val="21"/>
              </w:rPr>
            </w:pP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25.36</w:t>
            </w:r>
          </w:p>
        </w:tc>
        <w:tc>
          <w:tcPr>
            <w:tcW w:w="8679" w:type="dxa"/>
            <w:gridSpan w:val="2"/>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809" w:type="dxa"/>
            <w:vAlign w:val="center"/>
          </w:tcPr>
          <w:p>
            <w:pPr>
              <w:widowControl/>
              <w:jc w:val="left"/>
              <w:rPr>
                <w:rFonts w:ascii="宋体" w:hAnsi="宋体" w:cs="宋体"/>
                <w:color w:val="000000"/>
                <w:kern w:val="0"/>
                <w:szCs w:val="21"/>
              </w:rPr>
            </w:pPr>
            <w:r>
              <w:rPr>
                <w:rFonts w:ascii="宋体" w:hAnsi="宋体" w:cs="宋体"/>
                <w:color w:val="000000"/>
                <w:kern w:val="0"/>
                <w:szCs w:val="21"/>
              </w:rPr>
              <w:t>21200517GWH0001</w:t>
            </w:r>
          </w:p>
        </w:tc>
        <w:tc>
          <w:tcPr>
            <w:tcW w:w="2268"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数管中心全市统计系统数据库网络传输租费</w:t>
            </w:r>
          </w:p>
        </w:tc>
        <w:tc>
          <w:tcPr>
            <w:tcW w:w="1418" w:type="dxa"/>
            <w:vAlign w:val="center"/>
          </w:tcPr>
          <w:p>
            <w:pPr>
              <w:widowControl/>
              <w:jc w:val="right"/>
              <w:rPr>
                <w:rFonts w:ascii="宋体" w:hAnsi="宋体" w:cs="宋体"/>
                <w:color w:val="000000"/>
                <w:kern w:val="0"/>
                <w:szCs w:val="21"/>
              </w:rPr>
            </w:pPr>
            <w:r>
              <w:rPr>
                <w:rFonts w:ascii="宋体" w:hAnsi="宋体" w:cs="宋体"/>
                <w:color w:val="000000"/>
                <w:kern w:val="0"/>
                <w:szCs w:val="21"/>
              </w:rPr>
              <w:t>25.36</w:t>
            </w:r>
          </w:p>
        </w:tc>
        <w:tc>
          <w:tcPr>
            <w:tcW w:w="8679" w:type="dxa"/>
            <w:gridSpan w:val="2"/>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数管中心全市统计系统数据库网络传输租费经费</w:t>
            </w:r>
            <w:r>
              <w:rPr>
                <w:rFonts w:ascii="宋体" w:hAnsi="宋体" w:cs="宋体"/>
                <w:color w:val="000000"/>
                <w:kern w:val="0"/>
                <w:szCs w:val="21"/>
              </w:rPr>
              <w:t>25.36万元</w:t>
            </w:r>
          </w:p>
          <w:p>
            <w:pPr>
              <w:widowControl/>
              <w:jc w:val="left"/>
              <w:rPr>
                <w:rFonts w:ascii="宋体" w:hAnsi="宋体" w:cs="宋体"/>
                <w:color w:val="000000"/>
                <w:kern w:val="0"/>
                <w:szCs w:val="21"/>
              </w:rPr>
            </w:pPr>
            <w:r>
              <w:rPr>
                <w:rFonts w:ascii="宋体" w:hAnsi="宋体" w:cs="宋体"/>
                <w:color w:val="000000"/>
                <w:kern w:val="0"/>
                <w:szCs w:val="21"/>
              </w:rPr>
              <w:t xml:space="preserve"> 2005年财政有批复文件已备案15万，2010年以后，每年预算都申请追加至26万，经过招标，根据合同，实际支出为25.36万元</w:t>
            </w:r>
          </w:p>
        </w:tc>
      </w:tr>
    </w:tbl>
    <w:p>
      <w:pPr>
        <w:spacing w:line="20" w:lineRule="exact"/>
        <w:jc w:val="center"/>
        <w:rPr>
          <w:rFonts w:ascii="黑体" w:eastAsia="黑体"/>
          <w:b/>
          <w:sz w:val="32"/>
          <w:szCs w:val="32"/>
        </w:rPr>
      </w:pPr>
    </w:p>
    <w:p>
      <w:pPr>
        <w:spacing w:line="20" w:lineRule="exact"/>
        <w:jc w:val="center"/>
        <w:rPr>
          <w:rFonts w:ascii="黑体" w:eastAsia="黑体"/>
          <w:b/>
          <w:sz w:val="32"/>
          <w:szCs w:val="32"/>
        </w:rPr>
      </w:pPr>
    </w:p>
    <w:p>
      <w:pPr>
        <w:spacing w:line="20" w:lineRule="exact"/>
        <w:jc w:val="center"/>
        <w:rPr>
          <w:rFonts w:ascii="黑体" w:eastAsia="黑体"/>
          <w:b/>
          <w:sz w:val="32"/>
          <w:szCs w:val="32"/>
        </w:rPr>
      </w:pPr>
    </w:p>
    <w:p>
      <w:pPr>
        <w:spacing w:line="20" w:lineRule="exact"/>
      </w:pPr>
    </w:p>
    <w:p>
      <w:pPr>
        <w:spacing w:line="360" w:lineRule="auto"/>
        <w:jc w:val="left"/>
        <w:sectPr>
          <w:headerReference r:id="rId45" w:type="default"/>
          <w:pgSz w:w="16838" w:h="11906" w:orient="landscape"/>
          <w:pgMar w:top="1800" w:right="1440" w:bottom="1800" w:left="1440" w:header="851" w:footer="992" w:gutter="0"/>
          <w:cols w:space="720" w:num="1"/>
          <w:docGrid w:type="lines" w:linePitch="312"/>
        </w:sectPr>
      </w:pPr>
    </w:p>
    <w:p>
      <w:pPr>
        <w:spacing w:line="480" w:lineRule="auto"/>
        <w:jc w:val="left"/>
        <w:rPr>
          <w:rFonts w:ascii="宋体" w:hAnsi="宋体"/>
          <w:b/>
          <w:color w:val="000000"/>
          <w:sz w:val="28"/>
        </w:rPr>
      </w:pPr>
      <w:r>
        <w:rPr>
          <w:rFonts w:ascii="宋体" w:hAnsi="宋体"/>
          <w:b/>
          <w:color w:val="000000"/>
          <w:sz w:val="28"/>
        </w:rPr>
        <w:t>（二）专项项目安排说明</w:t>
      </w:r>
    </w:p>
    <w:p/>
    <w:p>
      <w:pPr>
        <w:spacing w:line="360" w:lineRule="auto"/>
        <w:jc w:val="left"/>
        <w:rPr>
          <w:rFonts w:ascii="宋体" w:hAnsi="宋体"/>
          <w:b/>
          <w:color w:val="000000"/>
          <w:sz w:val="28"/>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楷体">
    <w:altName w:val="楷体_GB2312"/>
    <w:panose1 w:val="02010609060101010101"/>
    <w:charset w:val="86"/>
    <w:family w:val="auto"/>
    <w:pitch w:val="default"/>
    <w:sig w:usb0="800002BF" w:usb1="38CF7CFA" w:usb2="00000016" w:usb3="00000000" w:csb0="00040001" w:csb1="00000000"/>
  </w:font>
  <w:font w:name="仿宋">
    <w:altName w:val="仿宋_GB2312"/>
    <w:panose1 w:val="02010609060101010101"/>
    <w:charset w:val="86"/>
    <w:family w:val="auto"/>
    <w:pitch w:val="default"/>
    <w:sig w:usb0="800002BF" w:usb1="38CF7CFA" w:usb2="00000016" w:usb3="00000000" w:csb0="00040001" w:csb1="00000000"/>
  </w:font>
  <w:font w:name="方正楷体">
    <w:altName w:val="楷体_GB2312"/>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rPr>
        <w:rFonts w:hint="eastAsia"/>
      </w:rPr>
      <w:t xml:space="preserve">第 </w:t>
    </w:r>
    <w:r>
      <w:fldChar w:fldCharType="begin"/>
    </w:r>
    <w:r>
      <w:instrText xml:space="preserve"> </w:instrText>
    </w:r>
    <w:r>
      <w:rPr>
        <w:rFonts w:hint="eastAsia"/>
      </w:rPr>
      <w:instrText xml:space="preserve">Page \* MERGEFORMAT</w:instrText>
    </w:r>
    <w:r>
      <w:instrText xml:space="preserve"> </w:instrText>
    </w:r>
    <w:r>
      <w:fldChar w:fldCharType="separate"/>
    </w:r>
    <w:r>
      <w:t>85</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1">
      <w:start w:val="3"/>
      <w:numFmt w:val="decimal"/>
      <w:suff w:val="nothing"/>
      <w:lvlText w:val="%1、"/>
      <w:lvlJc w:val="left"/>
    </w:lvl>
  </w:abstractNum>
  <w:abstractNum w:abstractNumId="11">
    <w:nsid w:val="0000000B"/>
    <w:multiLevelType w:val="singleLevel"/>
    <w:tmpl w:val="0000000B"/>
    <w:lvl w:ilvl="0" w:tentative="1">
      <w:start w:val="1"/>
      <w:numFmt w:val="decimal"/>
      <w:suff w:val="nothing"/>
      <w:lvlText w:val="（%1）"/>
      <w:lvlJc w:val="left"/>
    </w:lvl>
  </w:abstractNum>
  <w:abstractNum w:abstractNumId="12">
    <w:nsid w:val="0000000C"/>
    <w:multiLevelType w:val="singleLevel"/>
    <w:tmpl w:val="0000000C"/>
    <w:lvl w:ilvl="0" w:tentative="1">
      <w:start w:val="1"/>
      <w:numFmt w:val="decimal"/>
      <w:suff w:val="nothing"/>
      <w:lvlText w:val="（%1）"/>
      <w:lvlJc w:val="left"/>
    </w:lvl>
  </w:abstractNum>
  <w:abstractNum w:abstractNumId="13">
    <w:nsid w:val="0000000D"/>
    <w:multiLevelType w:val="singleLevel"/>
    <w:tmpl w:val="0000000D"/>
    <w:lvl w:ilvl="0" w:tentative="1">
      <w:start w:val="3"/>
      <w:numFmt w:val="decimal"/>
      <w:suff w:val="nothing"/>
      <w:lvlText w:val="%1、"/>
      <w:lvlJc w:val="left"/>
    </w:lvl>
  </w:abstractNum>
  <w:abstractNum w:abstractNumId="14">
    <w:nsid w:val="0000000E"/>
    <w:multiLevelType w:val="singleLevel"/>
    <w:tmpl w:val="0000000E"/>
    <w:lvl w:ilvl="0" w:tentative="1">
      <w:start w:val="3"/>
      <w:numFmt w:val="decimal"/>
      <w:suff w:val="nothing"/>
      <w:lvlText w:val="%1、"/>
      <w:lvlJc w:val="left"/>
    </w:lvl>
  </w:abstractNum>
  <w:num w:numId="1">
    <w:abstractNumId w:val="13"/>
  </w:num>
  <w:num w:numId="2">
    <w:abstractNumId w:val="12"/>
  </w:num>
  <w:num w:numId="3">
    <w:abstractNumId w:val="0"/>
  </w:num>
  <w:num w:numId="4">
    <w:abstractNumId w:val="14"/>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
    <w:pPr>
      <w:keepNext/>
      <w:keepLines/>
      <w:spacing w:before="340" w:after="330" w:line="578" w:lineRule="auto"/>
      <w:outlineLvl w:val="0"/>
    </w:pPr>
    <w:rPr>
      <w:b/>
      <w:bCs/>
      <w:kern w:val="44"/>
      <w:sz w:val="44"/>
      <w:szCs w:val="44"/>
    </w:rPr>
  </w:style>
  <w:style w:type="character" w:default="1" w:styleId="4">
    <w:name w:val="Default Paragraph Font"/>
  </w:style>
  <w:style w:type="character" w:customStyle="1" w:styleId="3">
    <w:name w:val="标题 1 Char"/>
    <w:basedOn w:val="4"/>
    <w:link w:val="2"/>
    <w:semiHidden/>
    <w:rPr>
      <w:b/>
      <w:bCs/>
      <w:kern w:val="44"/>
      <w:sz w:val="44"/>
      <w:szCs w:val="44"/>
    </w:rPr>
  </w:style>
  <w:style w:type="paragraph" w:styleId="5">
    <w:name w:val="footer"/>
    <w:basedOn w:val="1"/>
    <w:link w:val="6"/>
    <w:pPr>
      <w:tabs>
        <w:tab w:val="center" w:pos="4153"/>
        <w:tab w:val="right" w:pos="8306"/>
      </w:tabs>
      <w:snapToGrid w:val="0"/>
      <w:jc w:val="left"/>
    </w:pPr>
    <w:rPr>
      <w:sz w:val="18"/>
      <w:szCs w:val="18"/>
    </w:rPr>
  </w:style>
  <w:style w:type="character" w:customStyle="1" w:styleId="6">
    <w:name w:val="页脚 Char"/>
    <w:basedOn w:val="4"/>
    <w:link w:val="5"/>
    <w:semiHidden/>
    <w:rPr>
      <w:sz w:val="18"/>
      <w:szCs w:val="18"/>
    </w:rPr>
  </w:style>
  <w:style w:type="paragraph" w:styleId="7">
    <w:name w:val="header"/>
    <w:basedOn w:val="1"/>
    <w:link w:val="8"/>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8">
    <w:name w:val="页眉 Char"/>
    <w:basedOn w:val="4"/>
    <w:link w:val="7"/>
    <w:semiHidden/>
    <w:rPr>
      <w:rFonts w:ascii="Calibri" w:hAnsi="Calibri" w:eastAsia="宋体" w:cs="Times New Roman"/>
      <w:sz w:val="18"/>
      <w:szCs w:val="18"/>
    </w:rPr>
  </w:style>
  <w:style w:type="paragraph" w:styleId="9">
    <w:name w:val="toc 1"/>
    <w:basedOn w:val="1"/>
    <w:next w:val="1"/>
  </w:style>
  <w:style w:type="paragraph" w:styleId="10">
    <w:name w:val="Title"/>
    <w:basedOn w:val="1"/>
    <w:next w:val="1"/>
    <w:link w:val="11"/>
    <w:pPr>
      <w:spacing w:before="240" w:after="60"/>
      <w:jc w:val="center"/>
      <w:outlineLvl w:val="0"/>
    </w:pPr>
    <w:rPr>
      <w:rFonts w:ascii="Cambria" w:hAnsi="Cambria" w:eastAsia="宋体" w:cs="Times New Roman"/>
      <w:b/>
      <w:bCs/>
      <w:sz w:val="32"/>
      <w:szCs w:val="32"/>
    </w:rPr>
  </w:style>
  <w:style w:type="character" w:customStyle="1" w:styleId="11">
    <w:name w:val="标题 Char"/>
    <w:basedOn w:val="4"/>
    <w:link w:val="10"/>
    <w:semiHidden/>
    <w:rPr>
      <w:rFonts w:ascii="Cambria" w:hAnsi="Cambria" w:eastAsia="宋体" w:cs="Times New Roman"/>
      <w:b/>
      <w:bCs/>
      <w:sz w:val="32"/>
      <w:szCs w:val="32"/>
    </w:rPr>
  </w:style>
  <w:style w:type="character" w:styleId="12">
    <w:name w:val="Hyperlink"/>
    <w:basedOn w:val="4"/>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header" Target="header11.xml"/><Relationship Id="rId19" Type="http://schemas.openxmlformats.org/officeDocument/2006/relationships/header" Target="header12.xml"/><Relationship Id="rId2" Type="http://schemas.openxmlformats.org/officeDocument/2006/relationships/styles" Target="styles.xml"/><Relationship Id="rId20" Type="http://schemas.openxmlformats.org/officeDocument/2006/relationships/header" Target="header13.xml"/><Relationship Id="rId21" Type="http://schemas.openxmlformats.org/officeDocument/2006/relationships/header" Target="header14.xml"/><Relationship Id="rId22" Type="http://schemas.openxmlformats.org/officeDocument/2006/relationships/header" Target="header15.xml"/><Relationship Id="rId23" Type="http://schemas.openxmlformats.org/officeDocument/2006/relationships/header" Target="header16.xml"/><Relationship Id="rId24" Type="http://schemas.openxmlformats.org/officeDocument/2006/relationships/header" Target="header17.xml"/><Relationship Id="rId25" Type="http://schemas.openxmlformats.org/officeDocument/2006/relationships/header" Target="header18.xml"/><Relationship Id="rId26" Type="http://schemas.openxmlformats.org/officeDocument/2006/relationships/header" Target="header19.xml"/><Relationship Id="rId27" Type="http://schemas.openxmlformats.org/officeDocument/2006/relationships/header" Target="header20.xml"/><Relationship Id="rId28" Type="http://schemas.openxmlformats.org/officeDocument/2006/relationships/header" Target="header21.xml"/><Relationship Id="rId29" Type="http://schemas.openxmlformats.org/officeDocument/2006/relationships/header" Target="header22.xml"/><Relationship Id="rId3" Type="http://schemas.openxmlformats.org/officeDocument/2006/relationships/settings" Target="settings.xml"/><Relationship Id="rId30" Type="http://schemas.openxmlformats.org/officeDocument/2006/relationships/header" Target="header23.xml"/><Relationship Id="rId31" Type="http://schemas.openxmlformats.org/officeDocument/2006/relationships/header" Target="header24.xml"/><Relationship Id="rId32" Type="http://schemas.openxmlformats.org/officeDocument/2006/relationships/header" Target="header25.xml"/><Relationship Id="rId33" Type="http://schemas.openxmlformats.org/officeDocument/2006/relationships/header" Target="header26.xml"/><Relationship Id="rId34" Type="http://schemas.openxmlformats.org/officeDocument/2006/relationships/header" Target="header27.xml"/><Relationship Id="rId35" Type="http://schemas.openxmlformats.org/officeDocument/2006/relationships/header" Target="header28.xml"/><Relationship Id="rId36" Type="http://schemas.openxmlformats.org/officeDocument/2006/relationships/header" Target="header29.xml"/><Relationship Id="rId37" Type="http://schemas.openxmlformats.org/officeDocument/2006/relationships/header" Target="header30.xml"/><Relationship Id="rId38" Type="http://schemas.openxmlformats.org/officeDocument/2006/relationships/header" Target="header31.xml"/><Relationship Id="rId39" Type="http://schemas.openxmlformats.org/officeDocument/2006/relationships/header" Target="header32.xml"/><Relationship Id="rId4" Type="http://schemas.openxmlformats.org/officeDocument/2006/relationships/header" Target="header1.xml"/><Relationship Id="rId40" Type="http://schemas.openxmlformats.org/officeDocument/2006/relationships/header" Target="header33.xml"/><Relationship Id="rId41" Type="http://schemas.openxmlformats.org/officeDocument/2006/relationships/header" Target="header34.xml"/><Relationship Id="rId42" Type="http://schemas.openxmlformats.org/officeDocument/2006/relationships/header" Target="header35.xml"/><Relationship Id="rId43" Type="http://schemas.openxmlformats.org/officeDocument/2006/relationships/header" Target="header36.xml"/><Relationship Id="rId44" Type="http://schemas.openxmlformats.org/officeDocument/2006/relationships/header" Target="header37.xml"/><Relationship Id="rId45" Type="http://schemas.openxmlformats.org/officeDocument/2006/relationships/header" Target="header38.xml"/><Relationship Id="rId46" Type="http://schemas.openxmlformats.org/officeDocument/2006/relationships/theme" Target="theme/theme1.xml"/><Relationship Id="rId47" Type="http://schemas.openxmlformats.org/officeDocument/2006/relationships/customXml" Target="../customXml/item1.xml"/><Relationship Id="rId48" Type="http://schemas.openxmlformats.org/officeDocument/2006/relationships/numbering" Target="numbering.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7139</Words>
  <Characters>40693</Characters>
  <Lines>339</Lines>
  <Paragraphs>95</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2017-03-03T01:22:00Z</dcterms:created>
  <dc:creator>tsczj</dc:creator>
  <dcterms:modified xsi:type="dcterms:W3CDTF">2017-04-13T16:51:27Z</dcterms:modified>
  <dc:title>tsczj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