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唐山市统计局</w:t>
      </w:r>
      <w:r>
        <w:rPr>
          <w:rFonts w:ascii="Times New Roman" w:hAnsi="Times New Roman" w:eastAsia="方正小标宋_GBK" w:cs="Times New Roman"/>
          <w:sz w:val="44"/>
          <w:szCs w:val="44"/>
        </w:rPr>
        <w:t>2017年部门预算信息公开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，现将2017年部门预算公开如下：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jc w:val="left"/>
        <w:rPr>
          <w:rFonts w:ascii="仿宋" w:hAnsi="宋体" w:eastAsia="仿宋"/>
          <w:color w:val="000000"/>
          <w:sz w:val="28"/>
        </w:rPr>
      </w:pPr>
      <w:r>
        <w:rPr>
          <w:rFonts w:hint="eastAsia" w:ascii="Times New Roman" w:hAnsi="Times New Roman" w:eastAsia="方正仿宋_GBK" w:cs="Times New Roman"/>
          <w:b/>
          <w:sz w:val="32"/>
          <w:szCs w:val="32"/>
          <w:lang w:val="en-US" w:eastAsia="zh-CN"/>
        </w:rPr>
        <w:t xml:space="preserve">    </w:t>
      </w: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 w:hAnsi="宋体" w:eastAsia="仿宋"/>
          <w:color w:val="000000"/>
          <w:sz w:val="28"/>
        </w:rPr>
        <w:t xml:space="preserve">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依照国家和省有关法律、法规和政策、计划，制定并实施统计工作规章制度、统计现代化建设规划和统计调查计划；组织领导和监督检查市内各县（市）、区、场、各部门统计和国民经济核算工作，监督检查统计法律、法规实施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贯彻执行国家和省国民经济核算体系、统计指标体系和基本统计制度；组织、协调全市统计工作和国民经济核算工作；统一组织、管理全市统计报表工作；制定全市统计调查标准和统计调查制度；组织管理、审批各部门、各县（市）区统计调查项目（包括社会和涉外调查）、调查计划、调查方案；组织管理全市统计登记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组织完成国家和省部署的普查任务；研究提出重大市情市力普查和抽样调查计划，并组织实施；组织协调各县（市）、区、场、各部门社会经济调查，汇总、整理全市基本统计资料；对国民经济、科技进步和社会发展等情况进行统计分析、预测、监督和考核，向市委、市政府及有关部门提供统计信息和咨询建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统一核定、管理、公布、出版全市性的基本统计资料，定期发布全市国民经济和社会发展情况的统计信息。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管理全市统计信息自动化系统和统计数据库体系；管理全市统计数据库网络。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组织管理统计人员持证上岗及培训教育，协助有关部门组织管理统计专业技术资格考试和专业技术职务评聘工作。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7、负责全市各部门各单位统计工作业务指导，开展统计工作和统计科学的学术交流合作；规划、协调全市社会经济统计信息咨询服务行业，积极培育和发展信息咨询服务市场。</w:t>
      </w:r>
    </w:p>
    <w:p>
      <w:pPr>
        <w:ind w:firstLine="640" w:firstLineChars="200"/>
        <w:rPr>
          <w:rFonts w:ascii="Times New Roman" w:hAnsi="Times New Roman" w:eastAsia="方正仿宋_GBK" w:cs="Times New Roman"/>
          <w:b/>
          <w:sz w:val="32"/>
          <w:szCs w:val="32"/>
        </w:rPr>
      </w:pPr>
    </w:p>
    <w:p>
      <w:pPr>
        <w:ind w:firstLine="640" w:firstLineChars="200"/>
        <w:rPr>
          <w:rFonts w:ascii="Times New Roman" w:hAnsi="Times New Roman" w:eastAsia="方正仿宋_GBK" w:cs="Times New Roman"/>
          <w:b/>
          <w:sz w:val="32"/>
          <w:szCs w:val="32"/>
        </w:rPr>
      </w:pPr>
    </w:p>
    <w:p>
      <w:pPr>
        <w:autoSpaceDE w:val="0"/>
        <w:autoSpaceDN w:val="0"/>
        <w:adjustRightInd w:val="0"/>
        <w:ind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tbl>
      <w:tblP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138"/>
        <w:gridCol w:w="3250"/>
        <w:gridCol w:w="2534"/>
        <w:gridCol w:w="4038"/>
      </w:tblGrid>
      <w:tr>
        <w:trPr>
          <w:trHeight w:val="591" w:hRule="atLeast"/>
        </w:trPr>
        <w:tc>
          <w:tcPr>
            <w:tcW w:w="13960" w:type="dxa"/>
            <w:gridSpan w:val="4"/>
            <w:vAlign w:val="center"/>
          </w:tcPr>
          <w:p>
            <w:pPr>
              <w:autoSpaceDN w:val="0"/>
              <w:jc w:val="center"/>
              <w:textAlignment w:val="center"/>
              <w:rPr>
                <w:rFonts w:hint="default" w:ascii="Times New Roman" w:hAnsi="宋体"/>
                <w:b w:val="0"/>
                <w:i w:val="0"/>
                <w:color w:val="000000"/>
                <w:sz w:val="32"/>
                <w:u w:val="none"/>
              </w:rPr>
            </w:pPr>
            <w:r>
              <w:rPr>
                <w:rFonts w:hint="default" w:ascii="Times New Roman" w:hAnsi="宋体"/>
                <w:b w:val="0"/>
                <w:i w:val="0"/>
                <w:color w:val="000000"/>
                <w:sz w:val="32"/>
                <w:u w:val="none"/>
              </w:rPr>
              <w:t>部门</w:t>
            </w:r>
            <w:r>
              <w:rPr>
                <w:rFonts w:hint="default" w:ascii="宋体" w:hAnsi="宋体" w:eastAsia="宋体"/>
                <w:b w:val="0"/>
                <w:i w:val="0"/>
                <w:color w:val="000000"/>
                <w:sz w:val="32"/>
                <w:u w:val="none"/>
                <w:lang w:eastAsia="zh-CN"/>
              </w:rPr>
              <w:t>机构设置情况</w:t>
            </w:r>
          </w:p>
        </w:tc>
      </w:tr>
      <w:tr>
        <w:trPr>
          <w:trHeight w:val="312" w:hRule="atLeast"/>
        </w:trPr>
        <w:tc>
          <w:tcPr>
            <w:tcW w:w="413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000000"/>
                <w:sz w:val="21"/>
                <w:u w:val="none"/>
              </w:rPr>
            </w:pPr>
            <w:r>
              <w:rPr>
                <w:rFonts w:hint="default" w:ascii="Times New Roman" w:hAnsi="宋体"/>
                <w:b/>
                <w:i w:val="0"/>
                <w:color w:val="000000"/>
                <w:sz w:val="21"/>
                <w:u w:val="none"/>
              </w:rPr>
              <w:t>单位名称</w:t>
            </w:r>
          </w:p>
        </w:tc>
        <w:tc>
          <w:tcPr>
            <w:tcW w:w="32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000000"/>
                <w:sz w:val="21"/>
                <w:u w:val="none"/>
              </w:rPr>
            </w:pPr>
            <w:r>
              <w:rPr>
                <w:rFonts w:hint="default" w:ascii="Times New Roman" w:hAnsi="宋体"/>
                <w:b/>
                <w:i w:val="0"/>
                <w:color w:val="000000"/>
                <w:sz w:val="21"/>
                <w:u w:val="none"/>
              </w:rPr>
              <w:t>单位性质</w:t>
            </w:r>
          </w:p>
        </w:tc>
        <w:tc>
          <w:tcPr>
            <w:tcW w:w="253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000000"/>
                <w:sz w:val="21"/>
                <w:u w:val="none"/>
              </w:rPr>
            </w:pPr>
            <w:r>
              <w:rPr>
                <w:rFonts w:hint="default" w:ascii="Times New Roman" w:hAnsi="宋体"/>
                <w:b/>
                <w:i w:val="0"/>
                <w:color w:val="000000"/>
                <w:sz w:val="21"/>
                <w:u w:val="none"/>
              </w:rPr>
              <w:t>单位规格</w:t>
            </w:r>
          </w:p>
        </w:tc>
        <w:tc>
          <w:tcPr>
            <w:tcW w:w="4038"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000000"/>
                <w:sz w:val="21"/>
                <w:u w:val="none"/>
              </w:rPr>
            </w:pPr>
            <w:r>
              <w:rPr>
                <w:rFonts w:hint="default" w:ascii="Times New Roman" w:hAnsi="宋体"/>
                <w:b/>
                <w:i w:val="0"/>
                <w:color w:val="000000"/>
                <w:sz w:val="21"/>
                <w:u w:val="none"/>
              </w:rPr>
              <w:t>经费保障形式</w:t>
            </w:r>
          </w:p>
        </w:tc>
      </w:tr>
      <w:tr>
        <w:trPr>
          <w:trHeight w:val="312" w:hRule="atLeast"/>
        </w:trPr>
        <w:tc>
          <w:tcPr>
            <w:tcW w:w="413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sz w:val="24"/>
              </w:rPr>
            </w:pPr>
          </w:p>
        </w:tc>
        <w:tc>
          <w:tcPr>
            <w:tcW w:w="325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2534"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4038" w:type="dxa"/>
            <w:vMerge w:val="continue"/>
            <w:tcBorders>
              <w:top w:val="single" w:color="000000" w:sz="4" w:space="0"/>
              <w:bottom w:val="single" w:color="000000" w:sz="4" w:space="0"/>
              <w:right w:val="single" w:color="000000" w:sz="4" w:space="0"/>
            </w:tcBorders>
            <w:vAlign w:val="center"/>
          </w:tcPr>
          <w:p>
            <w:pPr>
              <w:rPr>
                <w:rFonts w:hint="default" w:ascii="宋体" w:hAnsi="宋体"/>
                <w:sz w:val="24"/>
              </w:rPr>
            </w:pP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唐山市统计局机关</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 xml:space="preserve">   行政</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正县级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财政拨款</w:t>
            </w: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唐山市普查中心</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事业参公</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副县级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财政拨款</w:t>
            </w: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唐山市农村</w:t>
            </w:r>
            <w:r>
              <w:rPr>
                <w:rFonts w:hint="eastAsia" w:ascii="宋体" w:hAnsi="宋体"/>
                <w:b w:val="0"/>
                <w:i w:val="0"/>
                <w:color w:val="000000"/>
                <w:sz w:val="21"/>
                <w:u w:val="none"/>
                <w:lang w:eastAsia="zh-CN"/>
              </w:rPr>
              <w:t>社会</w:t>
            </w:r>
            <w:r>
              <w:rPr>
                <w:rFonts w:hint="default" w:ascii="宋体" w:hAnsi="宋体" w:eastAsia="宋体"/>
                <w:b w:val="0"/>
                <w:i w:val="0"/>
                <w:color w:val="000000"/>
                <w:sz w:val="21"/>
                <w:u w:val="none"/>
                <w:lang w:eastAsia="zh-CN"/>
              </w:rPr>
              <w:t>经济调查队</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事业参公</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正科级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财政拨款</w:t>
            </w:r>
          </w:p>
        </w:tc>
      </w:tr>
      <w:tr>
        <w:trPr>
          <w:trHeight w:val="31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唐山市统计局数据管理中心</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全额拨款事业单位</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正科级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w:t>
      </w:r>
      <w:r>
        <w:rPr>
          <w:rFonts w:hint="eastAsia" w:ascii="Times New Roman" w:hAnsi="Times New Roman" w:eastAsia="方正仿宋_GBK" w:cs="Times New Roman"/>
          <w:sz w:val="32"/>
          <w:szCs w:val="32"/>
          <w:lang w:eastAsia="zh-CN"/>
        </w:rPr>
        <w:t>局</w:t>
      </w:r>
      <w:r>
        <w:rPr>
          <w:rFonts w:ascii="Times New Roman" w:hAnsi="Times New Roman" w:eastAsia="方正仿宋_GBK" w:cs="Times New Roman"/>
          <w:sz w:val="32"/>
          <w:szCs w:val="32"/>
        </w:rPr>
        <w:t>部门预算的编制实行综合预算制度，即全部收入和支出都反映</w:t>
      </w:r>
      <w:r>
        <w:rPr>
          <w:rFonts w:hint="eastAsia" w:ascii="Times New Roman" w:hAnsi="Times New Roman" w:eastAsia="方正仿宋_GBK" w:cs="Times New Roman"/>
          <w:sz w:val="32"/>
          <w:szCs w:val="32"/>
          <w:lang w:eastAsia="zh-CN"/>
        </w:rPr>
        <w:t>在</w:t>
      </w:r>
      <w:r>
        <w:rPr>
          <w:rFonts w:ascii="Times New Roman" w:hAnsi="Times New Roman" w:eastAsia="方正仿宋_GBK" w:cs="Times New Roman"/>
          <w:sz w:val="32"/>
          <w:szCs w:val="32"/>
        </w:rPr>
        <w:t>预算中。</w:t>
      </w:r>
    </w:p>
    <w:p>
      <w:pPr>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收入说明</w:t>
      </w:r>
      <w:r>
        <w:rPr>
          <w:rFonts w:hint="eastAsia" w:ascii="Times New Roman" w:hAnsi="Times New Roman" w:eastAsia="方正仿宋_GBK" w:cs="Times New Roman"/>
          <w:sz w:val="32"/>
          <w:szCs w:val="32"/>
          <w:lang w:val="en-US" w:eastAsia="zh-CN"/>
        </w:rPr>
        <w:t xml:space="preserve"> </w:t>
      </w:r>
    </w:p>
    <w:p>
      <w:pPr>
        <w:ind w:firstLine="640" w:firstLineChars="200"/>
        <w:rPr>
          <w:rFonts w:ascii="Times New Roman" w:hAnsi="Times New Roman" w:eastAsia="方正仿宋_GBK" w:cs="Times New Roman"/>
          <w:sz w:val="32"/>
          <w:szCs w:val="32"/>
        </w:rPr>
      </w:pPr>
      <w:r>
        <w:rPr>
          <w:rFonts w:hint="eastAsia" w:ascii="仿宋_GB2312" w:hAnsi="仿宋_GB2312" w:eastAsia="仿宋_GB2312" w:cs="仿宋_GB2312"/>
          <w:sz w:val="32"/>
          <w:szCs w:val="32"/>
          <w:lang w:val="en-US" w:eastAsia="zh-CN"/>
        </w:rPr>
        <w:t>放映本部门当年全部收入，2017年</w:t>
      </w:r>
      <w:r>
        <w:rPr>
          <w:rFonts w:hint="eastAsia" w:ascii="仿宋_GB2312" w:hAnsi="仿宋_GB2312" w:eastAsia="仿宋_GB2312" w:cs="仿宋_GB2312"/>
          <w:sz w:val="32"/>
          <w:szCs w:val="32"/>
          <w:lang w:eastAsia="zh-CN"/>
        </w:rPr>
        <w:t>预算收入1417.85</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唐山市统计局机关</w:t>
      </w:r>
      <w:r>
        <w:rPr>
          <w:rFonts w:hint="eastAsia" w:ascii="仿宋_GB2312" w:hAnsi="仿宋_GB2312" w:eastAsia="仿宋_GB2312" w:cs="仿宋_GB2312"/>
          <w:sz w:val="32"/>
          <w:szCs w:val="32"/>
          <w:lang w:val="en-US" w:eastAsia="zh-CN"/>
        </w:rPr>
        <w:t>632.67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唐山市统计局（参公</w:t>
      </w:r>
      <w:r>
        <w:rPr>
          <w:rFonts w:hint="eastAsia" w:ascii="仿宋_GB2312" w:hAnsi="仿宋_GB2312" w:eastAsia="仿宋_GB2312" w:cs="仿宋_GB2312"/>
          <w:sz w:val="32"/>
          <w:szCs w:val="32"/>
          <w:lang w:val="en-US" w:eastAsia="zh-CN"/>
        </w:rPr>
        <w:t>2户）638.59万元，唐山市统计局数据管理中心146.59万元</w:t>
      </w:r>
      <w:r>
        <w:rPr>
          <w:rFonts w:hint="eastAsia" w:ascii="仿宋_GB2312" w:hAnsi="仿宋_GB2312" w:eastAsia="仿宋_GB2312" w:cs="仿宋_GB2312"/>
          <w:sz w:val="32"/>
          <w:szCs w:val="32"/>
        </w:rPr>
        <w:t>。</w:t>
      </w:r>
    </w:p>
    <w:p>
      <w:pPr>
        <w:numPr>
          <w:ilvl w:val="0"/>
          <w:numId w:val="1"/>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收支预算总表支出栏、基本支出表、项目支出表按经济分类和支出功能分类科目编制，反映唐山市统计局年度部门预算中支出预算的总体情况。</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1417.85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其中人员经费支出</w:t>
      </w:r>
      <w:r>
        <w:rPr>
          <w:rFonts w:hint="eastAsia" w:ascii="仿宋_GB2312" w:hAnsi="仿宋_GB2312" w:eastAsia="仿宋_GB2312" w:cs="仿宋_GB2312"/>
          <w:sz w:val="32"/>
          <w:szCs w:val="32"/>
          <w:lang w:val="en-US" w:eastAsia="zh-CN"/>
        </w:rPr>
        <w:t>924.42万元和</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lang w:val="en-US" w:eastAsia="zh-CN"/>
        </w:rPr>
        <w:t>338.43万元（正常公用经费支出122.46万元，专项公用经费支出215.97万元）；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155万元。</w:t>
      </w:r>
    </w:p>
    <w:p>
      <w:pPr>
        <w:numPr>
          <w:ilvl w:val="0"/>
          <w:numId w:val="1"/>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2017年部门预算较2016年降低125.11万元，主要是项目支出第三次全国农业普查进展到第二阶段，所需经费减少造成。</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w:t>
      </w:r>
      <w:r>
        <w:rPr>
          <w:rFonts w:hint="eastAsia" w:ascii="仿宋_GB2312" w:hAnsi="仿宋_GB2312" w:eastAsia="仿宋_GB2312" w:cs="仿宋_GB2312"/>
          <w:sz w:val="32"/>
          <w:szCs w:val="32"/>
          <w:lang w:eastAsia="zh-CN"/>
        </w:rPr>
        <w:t>正常公用</w:t>
      </w:r>
      <w:r>
        <w:rPr>
          <w:rFonts w:hint="eastAsia" w:ascii="仿宋_GB2312" w:hAnsi="仿宋_GB2312" w:eastAsia="仿宋_GB2312" w:cs="仿宋_GB2312"/>
          <w:sz w:val="32"/>
          <w:szCs w:val="32"/>
        </w:rPr>
        <w:t>经费共计安排</w:t>
      </w:r>
      <w:r>
        <w:rPr>
          <w:rFonts w:hint="eastAsia" w:ascii="仿宋_GB2312" w:hAnsi="仿宋_GB2312" w:eastAsia="仿宋_GB2312" w:cs="仿宋_GB2312"/>
          <w:sz w:val="32"/>
          <w:szCs w:val="32"/>
          <w:lang w:val="en-US" w:eastAsia="zh-CN"/>
        </w:rPr>
        <w:t>122.46</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保证机关正常运转的办公费、邮电费、差旅费、会议费、福利费、培训费、公务接待费、公务交通补贴、维修费、其他商品和服务支出、其他、公务车运行维护费等支出</w:t>
      </w:r>
      <w:r>
        <w:rPr>
          <w:rFonts w:hint="eastAsia" w:ascii="仿宋_GB2312" w:hAnsi="仿宋_GB2312" w:eastAsia="仿宋_GB2312" w:cs="仿宋_GB2312"/>
          <w:sz w:val="32"/>
          <w:szCs w:val="32"/>
        </w:rPr>
        <w:t>。</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eastAsia="zh-CN"/>
        </w:rPr>
        <w:t>我部门</w:t>
      </w:r>
      <w:r>
        <w:rPr>
          <w:rFonts w:hint="eastAsia" w:ascii="仿宋_GB2312" w:hAnsi="仿宋_GB2312" w:eastAsia="仿宋_GB2312" w:cs="仿宋_GB2312"/>
          <w:sz w:val="32"/>
          <w:szCs w:val="32"/>
        </w:rPr>
        <w:t>“三公”经费预算安排</w:t>
      </w:r>
      <w:r>
        <w:rPr>
          <w:rFonts w:hint="eastAsia" w:ascii="仿宋_GB2312" w:hAnsi="仿宋_GB2312" w:eastAsia="仿宋_GB2312" w:cs="仿宋_GB2312"/>
          <w:sz w:val="32"/>
          <w:szCs w:val="32"/>
          <w:lang w:val="en-US" w:eastAsia="zh-CN"/>
        </w:rPr>
        <w:t>22.04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较上年预算减少</w:t>
      </w:r>
      <w:r>
        <w:rPr>
          <w:rFonts w:hint="eastAsia" w:ascii="仿宋_GB2312" w:hAnsi="仿宋_GB2312" w:eastAsia="仿宋_GB2312" w:cs="仿宋_GB2312"/>
          <w:sz w:val="32"/>
          <w:szCs w:val="32"/>
          <w:lang w:val="en-US" w:eastAsia="zh-CN"/>
        </w:rPr>
        <w:t>34.33万元。具体安排情况为：</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w:t>
      </w:r>
      <w:r>
        <w:rPr>
          <w:rFonts w:hint="eastAsia" w:ascii="仿宋_GB2312" w:hAnsi="仿宋_GB2312" w:eastAsia="仿宋_GB2312" w:cs="仿宋_GB2312"/>
          <w:sz w:val="32"/>
          <w:szCs w:val="32"/>
          <w:lang w:eastAsia="zh-CN"/>
        </w:rPr>
        <w:t>购置及运行费</w:t>
      </w:r>
      <w:r>
        <w:rPr>
          <w:rFonts w:hint="eastAsia" w:ascii="仿宋_GB2312" w:hAnsi="仿宋_GB2312" w:eastAsia="仿宋_GB2312" w:cs="仿宋_GB2312"/>
          <w:sz w:val="32"/>
          <w:szCs w:val="32"/>
          <w:lang w:val="en-US" w:eastAsia="zh-CN"/>
        </w:rPr>
        <w:t>21万元，较上年预算减少34万元。①公务用车购置安排0万元，无增减变化。②公车运行维护费安排21万元，较上年预算减少34万元，减少原因为公车改革，公车数量减少。</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公务接待费1.04万元，较上年减少0.33万元。减少原因为定点酒店自助标准降低减少了开支。</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因公出国（境）费安排0万元，无增减变化。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hint="eastAsia" w:ascii="Times New Roman" w:hAnsi="Times New Roman" w:eastAsia="方正仿宋_GBK" w:cs="Times New Roman"/>
          <w:b/>
          <w:sz w:val="32"/>
          <w:szCs w:val="32"/>
          <w:lang w:eastAsia="zh-CN"/>
        </w:rPr>
        <w:t>（一）</w:t>
      </w:r>
      <w:r>
        <w:rPr>
          <w:rFonts w:ascii="Times New Roman" w:hAnsi="Times New Roman" w:eastAsia="方正仿宋_GBK" w:cs="Times New Roman"/>
          <w:b/>
          <w:sz w:val="32"/>
          <w:szCs w:val="32"/>
        </w:rPr>
        <w:t>总体绩效目标：</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2017年，全市统计工作的任务将更加艰巨繁重，我们一定认真按照市委、市政府的一系列部署，牢牢把握 推进科学统计、服务科学发展 的主题，以推进科学统计为主线，大力开展 改革创优提质年 活动，更好地发挥 导航仪 、 数据库 和 参谋部 的作用，为唐山科学发展提供坚强有力的统计保障。重点抓好以 七化 为重点的科学统计体系建设和各项调查任务：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1、建立规范化的 双基 管理体系。更加注重工作重心下移，在严格标准、注重实效上下功夫，努力把基层基础工作搞扎实。</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规范管理制度。进一步完善《唐山市统计局关于乡镇（场）和街道办事处统计基础规范化建设实施方案》，并出台《关于进一步加强乡镇统计站建设的通知》，强化规范化管理，力争使还没有通过省局评定的8个县（市）早日验收合格。</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（2）规范工作标准。对乡镇统计站明确 八个有 标准，建立 八项制度 ，并对执行情况进行督导检查，对不合格单位限期整改。</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（3）规范指标设置。及时、系统、全面地跟踪反映社会经济发展，坚持与时俱进合理设置统计指标，科学构筑统计指标体系，为党委、政府科学决策提供丰富、翔实的量化依据。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（4）规范统计行为。拟以市政府名义出台《规范基层统计工作的通知》，协调部门专项统计，加强统计基础，规范全市统计工作。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2、建立责任化的数据控制体系。</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（1）实行数据质量层层负责制。发挥 企业一套表 责任明确的优势，不断提高数据质量作为统计部门的第一职责，在市。</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（2）落实数据联审责任制。对固定资产投资、能源消耗、利用外资等重点指标的完成情况，坚持每季度与市直有关部门联合会审，并明确和落实各部门的责任。</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（3）建立数据质量责任追究制度。制定统计数据质量责任事故追究办法，明确统计数据质量责任事故认定标准、责任事故追究形式，形成自我约束、自我监督的统计工作责任体系。</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产品化的咨询服务体系。积极提升服务理念，为领导决策提供全面的、能动的、高层次服务，实现统计咨询服务产品化。重点在用活统计数据、强化统计调研分析、为分层管理决策和社会公众提供优质服务上给力，在做精品、创品牌上下功夫。</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做好重要信息、统计资料和统计月报，编纂领导干部资料手册、统计年鉴、唐山统计和 十一五 经济资料汇编等资料。</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充实统计数据 资料库 ，确保经济发展到哪里统计服务就延伸到哪里。</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）建立统计监测 直通车 ，在各县（市）区选择一至两个乡镇统计站、企业作为监测点，向市局直接报送统计分析，确保快捷有效。</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）成立统计咨询课题组，围绕经济生活中的重点、难点问题，开展专题分析研究，为各级领导决策提供精品服务。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）加强统计调查和资料开发应用，并组织实施能源调查、居民幸福指数调查等工作，及时提出建议，服务好各级领导决策。</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）延伸统计为民服务活动，利用统计数据和统计分析，为企业、为社会公众提供更有效的服务。</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4、建立科学化的制度方法体系。把统计改革作为推进统计科学发展的强大动力，积极探索统计制度方法改革的新路径。一方面，继续深化 企业一套表 改革。把 企业一套表 改革作为推进 四大工程 的龙头，积极配合省局做好 企业一套表 改革的推广工作，巩固 企业一套表 改革成果，及时发现、解决运行中存在的问题，完善系统平台；增加 一套表 汇总表、计算表的表式，逐步替代常规统计的程序；扩大贸易专业 企业一套表 的统计范围，增加规模以下单位的统计；把固定资产投资、服务业、劳资等专业纳入 企业一套表 试点，全面推广使用 企业一套表 系统；加强 企业一套表 运行管理，搞好数据的审核。另一方面，推动文化产业、服务业、贸易业等其它统计方法制度的改革创新。建立文化产业统计制度，推进服务业报表制度改革，开展贸易统计改革，继续做好规模以上个体户全面入统和完善限额以下商贸企业抽样调查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5、建立现代化的信息传输体系。把统计信息化建设纳入市县电子政务建设规划，按照相关要求，明确建设目标、建设任务和工作进度。</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健全网络。充分利用现有网络平台资源，改造升级省、市、县三级统计信息网络系统和信息安全系统，加快市-县间计算机网络扩容、改造工作的步伐。大规模提升乡镇（街道）统计站计算机和网络装备水平，并确保全市乡镇（街道）统计站人均拥有一台计算机。</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（2）建设视频会议系统。在市县之间建设视频会议系统，力争上半年完成，确保视频会议系统使用的高效率、高质量、高标准。</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6、建立强势化的统计执法体系。加大统计法制贯彻执行的力度，力求做到 三个全覆盖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（1）法制宣传全覆盖。继续深入开展《统计违法违纪行为处分规定》和《统计法》宣传，采取办班宣传、借助媒体宣传、扩大网络宣传、印发 明白纸 宣传、组团宣传等多种方法，力求使社会各界对统计工作更加了解，对统计工作更加支持。</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（2）法制教育全覆盖。除市局组织举办一次大型的法制培训班外，开展法制教育 五进 活动，即进课堂、进机关、进企业、进家庭、进基层，增强全社会依法统计意识，提高统计人员执法能力。</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执法检查全覆盖。把统计执法检查贯穿全年工作始终，执法范围覆盖到每个统计单位，定期开展专项统计执法检查、集中开展统计执法大检查，坚决查处瞒报、漏报、虚报、篡改等统计违法行为，积极创造良好的统计法制环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7、建立精细化的内部管理体系。推进干部管理精细化。以推进学习型党组织建设、深化 创先争优 活动和 “五讲五提升 活动为抓手，具体打造学习型、服务型、创新型、规范型、示范型等 五型 团队，全面提高整体素质。推进工作管理精细化。对各项工作制度进行全面梳理、完善，按照精简程序、理清环节、分清责任、明确标准的要求，细化工作标准，规范工作流程，制定出标准工作流程，使每一项工作都做到过程清晰、责任明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8、高质量完成人口普查和各项统计调查任务。认真做好第六次全国人口普查后期工作。精心组织人口普查数据处理，逐级按时完成数据审核、校正和上报工作，加强数据质量控制，认真做好分地区、分结构指标数据的研究、评估和分析工作，切实加强普查表管理，做好人口普查主要数据发布、总结表彰工作。搞好普查资料开发应用，发挥普查资料价值和社会效益。扎实做好各项常规统计调查工作，坚持科学统计、依法统计，确保数据质量，反映经济社会发展实际。认真做好R&amp;D资源清查数据研究和资料开发等相关工作，建立第二次河北省R&amp;D资源清查数据库。</w:t>
      </w:r>
    </w:p>
    <w:p>
      <w:pPr>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实现年度发展规划目标的保障措施</w:t>
      </w:r>
    </w:p>
    <w:p>
      <w:pPr>
        <w:ind w:firstLine="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实现本年度规划目标的保障措施</w:t>
      </w:r>
    </w:p>
    <w:p>
      <w:pPr>
        <w:ind w:firstLine="560"/>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 依照国家和省有关法律、法规和政策、计划，制定并实施统计工作规章制度、统计现代化建设规划和统计调查计划；组织领导和监督检查市内各县（市）、区、场、各部门统计和国民经济核算工作，监督检查统计法律、法规实施情况。</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 贯彻执行国家和省国民经济核算体系、统计指标体系和基本统计制度；组织、协调全市统计工作和国民经济核算工作；统一组织、管理全市统计报表工作；制定全市统计调查标准和统计调查制度；组织管理、审批各部门、各县（市）区统计调查项目（包括社会和涉外调查）、调查计划、调查方案；组织管理全市统计登记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组织完成国家和省部署的普查任务；研究提出重大市情市力普查和抽样调查计划，并组织实施；组织协调各县（市）、区、场、各部门社会经济调查，汇总、整理全市基本统计资料；对国民经济、科技进步和社会发展等情况进行统计分析、预测、监督和考核，向市委、市政府及有关部门提供统计信息和咨询建议。</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4、统一核定、管理、公布、出版全市性的基本统计资料，定期发布全市国民经济和社会发展情况的统计信息。</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5、管理全市统计信息自动化系统和统计数据库体系；管理全市统计数据库网络。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6、组织管理统计人员持证上岗及培训教育，协助有关部门组织管理统计专业技术资格考试和专业技术职务评聘工作。</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7、负责全市各部门各单位统计工作业务指导，开展统计工作和统计科学的学术交流合作；规划、协调全市社会经济统计信息咨询服务行业，积极培育和发展信息咨询服务市场。</w:t>
      </w:r>
    </w:p>
    <w:p>
      <w:pPr>
        <w:ind w:firstLine="640" w:firstLineChars="200"/>
        <w:jc w:val="left"/>
        <w:outlineLvl w:val="0"/>
        <w:rPr>
          <w:rFonts w:hint="eastAsia" w:ascii="黑体" w:hAnsi="黑体" w:eastAsia="黑体" w:cs="黑体"/>
          <w:b/>
          <w:sz w:val="32"/>
          <w:szCs w:val="24"/>
        </w:rPr>
      </w:pPr>
      <w:r>
        <w:rPr>
          <w:rFonts w:hint="eastAsia" w:ascii="黑体" w:hAnsi="黑体" w:eastAsia="黑体" w:cs="黑体"/>
          <w:b/>
          <w:sz w:val="32"/>
          <w:szCs w:val="32"/>
        </w:rPr>
        <w:t>部门职责及工作活动绩效目标指标：</w:t>
      </w:r>
      <w:bookmarkEnd w:id="0"/>
    </w:p>
    <w:p>
      <w:pPr>
        <w:jc w:val="center"/>
        <w:outlineLvl w:val="0"/>
        <w:rPr>
          <w:rFonts w:ascii="方正小标宋_GBK" w:hAnsi="Times New Roman" w:eastAsia="方正小标宋_GBK" w:cs="Times New Roman"/>
          <w:sz w:val="32"/>
          <w:szCs w:val="24"/>
        </w:rPr>
      </w:pPr>
    </w:p>
    <w:p>
      <w:pPr>
        <w:pStyle w:val="9"/>
      </w:pPr>
      <w:bookmarkStart w:id="1" w:name="_Toc383873147"/>
      <w:bookmarkStart w:id="2" w:name="_Toc476153803"/>
      <w:r>
        <w:rPr>
          <w:rFonts w:hint="eastAsia"/>
        </w:rPr>
        <w:t>部门</w:t>
      </w:r>
      <w:bookmarkEnd w:id="1"/>
      <w:r>
        <w:rPr>
          <w:rFonts w:hint="eastAsia"/>
        </w:rPr>
        <w:t>职责-工作活动绩效目标</w:t>
      </w:r>
      <w:bookmarkEnd w:id="2"/>
      <w:r>
        <w:rPr>
          <w:rFonts w:hint="eastAsia"/>
          <w:sz w:val="28"/>
        </w:rPr>
        <w:t xml:space="preserve">                      </w:t>
      </w:r>
      <w:r>
        <w:t xml:space="preserve">                                                </w:t>
      </w:r>
    </w:p>
    <w:tbl>
      <w:tblPr>
        <w:tblW w:w="1474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02"/>
        <w:gridCol w:w="1276"/>
        <w:gridCol w:w="3827"/>
        <w:gridCol w:w="2693"/>
        <w:gridCol w:w="1843"/>
        <w:gridCol w:w="851"/>
        <w:gridCol w:w="708"/>
        <w:gridCol w:w="851"/>
        <w:gridCol w:w="850"/>
        <w:gridCol w:w="144"/>
      </w:tblGrid>
      <w:tr>
        <w:trPr>
          <w:cantSplit/>
          <w:tblHeader/>
        </w:trPr>
        <w:tc>
          <w:tcPr>
            <w:tcW w:w="9498" w:type="dxa"/>
            <w:gridSpan w:val="4"/>
            <w:vAlign w:val="center"/>
          </w:tcPr>
          <w:p>
            <w:pPr>
              <w:widowControl/>
              <w:jc w:val="left"/>
              <w:rPr>
                <w:rFonts w:ascii="黑体" w:hAnsi="黑体" w:eastAsia="黑体" w:cs="Arial"/>
                <w:b/>
                <w:kern w:val="0"/>
                <w:szCs w:val="21"/>
              </w:rPr>
            </w:pPr>
            <w:r>
              <w:rPr>
                <w:rFonts w:ascii="宋体" w:hAnsi="宋体"/>
                <w:sz w:val="28"/>
              </w:rPr>
              <w:t>212唐山市统计局</w:t>
            </w:r>
          </w:p>
        </w:tc>
        <w:tc>
          <w:tcPr>
            <w:tcW w:w="5247" w:type="dxa"/>
            <w:gridSpan w:val="6"/>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blHeader/>
        </w:trPr>
        <w:tc>
          <w:tcPr>
            <w:tcW w:w="1702"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708"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600" w:hRule="exact"/>
        </w:trPr>
        <w:tc>
          <w:tcPr>
            <w:tcW w:w="170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统计调查</w:t>
            </w:r>
          </w:p>
        </w:tc>
        <w:tc>
          <w:tcPr>
            <w:tcW w:w="1276" w:type="dxa"/>
            <w:vAlign w:val="center"/>
          </w:tcPr>
          <w:p>
            <w:pPr>
              <w:widowControl/>
              <w:jc w:val="right"/>
              <w:rPr>
                <w:rFonts w:ascii="宋体" w:hAnsi="宋体" w:cs="宋体"/>
                <w:color w:val="000000"/>
                <w:kern w:val="0"/>
                <w:szCs w:val="21"/>
              </w:rPr>
            </w:pPr>
            <w:r>
              <w:rPr>
                <w:rFonts w:ascii="宋体" w:hAnsi="宋体" w:cs="宋体"/>
                <w:color w:val="000000"/>
                <w:kern w:val="0"/>
                <w:szCs w:val="21"/>
              </w:rPr>
              <w:t>155.00</w:t>
            </w:r>
          </w:p>
        </w:tc>
        <w:tc>
          <w:tcPr>
            <w:tcW w:w="3827" w:type="dxa"/>
            <w:vAlign w:val="center"/>
          </w:tcPr>
          <w:p>
            <w:pPr>
              <w:widowControl/>
              <w:rPr>
                <w:rFonts w:ascii="宋体" w:hAnsi="宋体" w:cs="宋体"/>
                <w:color w:val="000000"/>
                <w:kern w:val="0"/>
                <w:szCs w:val="21"/>
              </w:rPr>
            </w:pPr>
            <w:r>
              <w:rPr>
                <w:rFonts w:hint="eastAsia" w:ascii="宋体" w:hAnsi="宋体" w:cs="宋体"/>
                <w:color w:val="000000"/>
                <w:kern w:val="0"/>
                <w:szCs w:val="21"/>
              </w:rPr>
              <w:t>组织国情国力普查和工业、农业、社会、教育、节能、卫生等涉及相关行业的专项统计调查监测，收集、整理统计数据，提供咨询建议。</w:t>
            </w:r>
          </w:p>
        </w:tc>
        <w:tc>
          <w:tcPr>
            <w:tcW w:w="2693" w:type="dxa"/>
            <w:vAlign w:val="center"/>
          </w:tcPr>
          <w:p>
            <w:pPr>
              <w:widowControl/>
              <w:rPr>
                <w:rFonts w:ascii="宋体" w:hAnsi="宋体" w:cs="宋体"/>
                <w:color w:val="000000"/>
                <w:kern w:val="0"/>
                <w:szCs w:val="21"/>
              </w:rPr>
            </w:pPr>
            <w:r>
              <w:rPr>
                <w:rFonts w:hint="eastAsia" w:ascii="宋体" w:hAnsi="宋体" w:cs="宋体"/>
                <w:color w:val="000000"/>
                <w:kern w:val="0"/>
                <w:szCs w:val="21"/>
              </w:rPr>
              <w:t>研究制定资料开发应用计划，进行业务培训，组织开展深层次课题研究，发布普查主要数据公报，完成普查工作总结和表彰。</w:t>
            </w:r>
          </w:p>
        </w:tc>
        <w:tc>
          <w:tcPr>
            <w:tcW w:w="1843"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708" w:type="dxa"/>
            <w:vAlign w:val="center"/>
          </w:tcPr>
          <w:p>
            <w:pPr>
              <w:widowControl/>
              <w:rPr>
                <w:rFonts w:ascii="宋体" w:hAnsi="宋体" w:cs="宋体"/>
                <w:color w:val="000000"/>
                <w:kern w:val="0"/>
                <w:szCs w:val="21"/>
              </w:rPr>
            </w:pPr>
          </w:p>
        </w:tc>
        <w:tc>
          <w:tcPr>
            <w:tcW w:w="851" w:type="dxa"/>
            <w:vAlign w:val="center"/>
          </w:tcPr>
          <w:p>
            <w:pPr>
              <w:widowControl/>
              <w:rPr>
                <w:rFonts w:ascii="宋体" w:hAnsi="宋体" w:cs="宋体"/>
                <w:color w:val="000000"/>
                <w:kern w:val="0"/>
                <w:szCs w:val="21"/>
              </w:rPr>
            </w:pPr>
          </w:p>
        </w:tc>
        <w:tc>
          <w:tcPr>
            <w:tcW w:w="850" w:type="dxa"/>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280" w:hRule="exact"/>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专项统计调查</w:t>
            </w:r>
          </w:p>
        </w:tc>
        <w:tc>
          <w:tcPr>
            <w:tcW w:w="1276" w:type="dxa"/>
            <w:vMerge w:val="restart"/>
            <w:vAlign w:val="center"/>
          </w:tcPr>
          <w:p>
            <w:pPr>
              <w:widowControl/>
              <w:jc w:val="right"/>
              <w:rPr>
                <w:rFonts w:ascii="宋体" w:hAnsi="宋体" w:cs="宋体"/>
                <w:color w:val="000000"/>
                <w:kern w:val="0"/>
                <w:szCs w:val="21"/>
              </w:rPr>
            </w:pPr>
            <w:r>
              <w:rPr>
                <w:rFonts w:ascii="宋体" w:hAnsi="宋体" w:cs="宋体"/>
                <w:color w:val="000000"/>
                <w:kern w:val="0"/>
                <w:szCs w:val="21"/>
              </w:rPr>
              <w:t>155.00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根据部门职责及《中华人民共和国统计法》和国家统计局、市、市政府有关文件要求，组织实施涉及相关行业数据的专项统计调查。</w:t>
            </w:r>
            <w:r>
              <w:rPr>
                <w:rFonts w:ascii="宋体" w:hAnsi="宋体" w:cs="宋体"/>
                <w:color w:val="000000"/>
                <w:kern w:val="0"/>
                <w:szCs w:val="21"/>
              </w:rPr>
              <w:t xml:space="preserve">             </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自</w:t>
            </w:r>
            <w:r>
              <w:rPr>
                <w:rFonts w:ascii="宋体" w:hAnsi="宋体" w:cs="宋体"/>
                <w:color w:val="000000"/>
                <w:kern w:val="0"/>
                <w:szCs w:val="21"/>
              </w:rPr>
              <w:t>2016至2018年，开展第三次农业普查，查清农业、农村、农民基本情况</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农业普查</w:t>
            </w:r>
            <w:r>
              <w:rPr>
                <w:rFonts w:ascii="宋体" w:hAnsi="宋体" w:cs="宋体"/>
                <w:color w:val="000000"/>
                <w:kern w:val="0"/>
                <w:szCs w:val="21"/>
              </w:rPr>
              <w:t>2017年需要经费155万元</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不超预算支出</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超预算支出</w:t>
            </w:r>
            <w:r>
              <w:rPr>
                <w:rFonts w:ascii="宋体" w:hAnsi="宋体" w:cs="宋体"/>
                <w:color w:val="000000"/>
                <w:kern w:val="0"/>
                <w:szCs w:val="21"/>
              </w:rPr>
              <w:t>10%</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超出预算支出</w:t>
            </w:r>
            <w:r>
              <w:rPr>
                <w:rFonts w:ascii="宋体" w:hAnsi="宋体" w:cs="宋体"/>
                <w:color w:val="000000"/>
                <w:kern w:val="0"/>
                <w:szCs w:val="21"/>
              </w:rPr>
              <w:t>20%</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超出预算支出</w:t>
            </w:r>
            <w:r>
              <w:rPr>
                <w:rFonts w:ascii="宋体" w:hAnsi="宋体" w:cs="宋体"/>
                <w:color w:val="000000"/>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2240" w:hRule="exact"/>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宣传工作得到广大群众的认可；正式登记得到普查对象的认可</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各项工作认可度达到</w:t>
            </w:r>
            <w:r>
              <w:rPr>
                <w:rFonts w:ascii="宋体" w:hAnsi="宋体" w:cs="宋体"/>
                <w:color w:val="000000"/>
                <w:kern w:val="0"/>
                <w:szCs w:val="21"/>
              </w:rPr>
              <w:t>95%以上</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各项工作认可度达到</w:t>
            </w:r>
            <w:r>
              <w:rPr>
                <w:rFonts w:ascii="宋体" w:hAnsi="宋体" w:cs="宋体"/>
                <w:color w:val="000000"/>
                <w:kern w:val="0"/>
                <w:szCs w:val="21"/>
              </w:rPr>
              <w:t>85%以上</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各项工作认可度达到</w:t>
            </w:r>
            <w:r>
              <w:rPr>
                <w:rFonts w:ascii="宋体" w:hAnsi="宋体" w:cs="宋体"/>
                <w:color w:val="000000"/>
                <w:kern w:val="0"/>
                <w:szCs w:val="21"/>
              </w:rPr>
              <w:t>75%以上</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各项工作认可度达到</w:t>
            </w:r>
            <w:r>
              <w:rPr>
                <w:rFonts w:ascii="宋体" w:hAnsi="宋体" w:cs="宋体"/>
                <w:color w:val="000000"/>
                <w:kern w:val="0"/>
                <w:szCs w:val="21"/>
              </w:rPr>
              <w:t>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专项统计调查</w:t>
            </w:r>
          </w:p>
        </w:tc>
        <w:tc>
          <w:tcPr>
            <w:tcW w:w="1276" w:type="dxa"/>
            <w:vMerge w:val="restart"/>
            <w:vAlign w:val="center"/>
          </w:tcPr>
          <w:p>
            <w:pPr>
              <w:widowControl/>
              <w:jc w:val="right"/>
              <w:rPr>
                <w:rFonts w:ascii="宋体" w:hAnsi="宋体" w:cs="宋体"/>
                <w:color w:val="000000"/>
                <w:kern w:val="0"/>
                <w:szCs w:val="21"/>
              </w:rPr>
            </w:pPr>
            <w:r>
              <w:rPr>
                <w:rFonts w:ascii="宋体" w:hAnsi="宋体" w:cs="宋体"/>
                <w:color w:val="000000"/>
                <w:kern w:val="0"/>
                <w:szCs w:val="21"/>
              </w:rPr>
              <w:t>155.00</w:t>
            </w:r>
          </w:p>
        </w:tc>
        <w:tc>
          <w:tcPr>
            <w:tcW w:w="3827"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根据部门职责及《中华人民共和国统计法》和国家统计局、市、市政府有关文件要求，组织实施涉及相关行业数据的专项统计调查。</w:t>
            </w:r>
            <w:r>
              <w:rPr>
                <w:rFonts w:ascii="宋体" w:hAnsi="宋体" w:cs="宋体"/>
                <w:color w:val="000000"/>
                <w:kern w:val="0"/>
                <w:szCs w:val="21"/>
              </w:rPr>
              <w:t xml:space="preserve">             </w:t>
            </w:r>
          </w:p>
        </w:tc>
        <w:tc>
          <w:tcPr>
            <w:tcW w:w="2693" w:type="dxa"/>
            <w:vMerge w:val="restart"/>
            <w:vAlign w:val="center"/>
          </w:tcPr>
          <w:p>
            <w:pPr>
              <w:widowControl/>
              <w:rPr>
                <w:rFonts w:ascii="宋体" w:hAnsi="宋体" w:cs="宋体"/>
                <w:color w:val="000000"/>
                <w:kern w:val="0"/>
                <w:szCs w:val="21"/>
              </w:rPr>
            </w:pPr>
            <w:r>
              <w:rPr>
                <w:rFonts w:hint="eastAsia" w:ascii="宋体" w:hAnsi="宋体" w:cs="宋体"/>
                <w:color w:val="000000"/>
                <w:kern w:val="0"/>
                <w:szCs w:val="21"/>
              </w:rPr>
              <w:t>自</w:t>
            </w:r>
            <w:r>
              <w:rPr>
                <w:rFonts w:ascii="宋体" w:hAnsi="宋体" w:cs="宋体"/>
                <w:color w:val="000000"/>
                <w:kern w:val="0"/>
                <w:szCs w:val="21"/>
              </w:rPr>
              <w:t>2016至2018年，开展第三次农业普查，查清农业、农村、农民基本情况</w:t>
            </w: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宣传工作覆盖全市</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宣传范围达到全市</w:t>
            </w:r>
            <w:r>
              <w:rPr>
                <w:rFonts w:ascii="宋体" w:hAnsi="宋体" w:cs="宋体"/>
                <w:color w:val="000000"/>
                <w:kern w:val="0"/>
                <w:szCs w:val="21"/>
              </w:rPr>
              <w:t>95%以上</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宣传范围达到全市</w:t>
            </w:r>
            <w:r>
              <w:rPr>
                <w:rFonts w:ascii="宋体" w:hAnsi="宋体" w:cs="宋体"/>
                <w:color w:val="000000"/>
                <w:kern w:val="0"/>
                <w:szCs w:val="21"/>
              </w:rPr>
              <w:t>85%以上</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宣传范围达到全市</w:t>
            </w:r>
            <w:r>
              <w:rPr>
                <w:rFonts w:ascii="宋体" w:hAnsi="宋体" w:cs="宋体"/>
                <w:color w:val="000000"/>
                <w:kern w:val="0"/>
                <w:szCs w:val="21"/>
              </w:rPr>
              <w:t>75%以上</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宣传范围达到全市</w:t>
            </w:r>
            <w:r>
              <w:rPr>
                <w:rFonts w:ascii="宋体" w:hAnsi="宋体" w:cs="宋体"/>
                <w:color w:val="000000"/>
                <w:kern w:val="0"/>
                <w:szCs w:val="21"/>
              </w:rPr>
              <w:t>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Align w:val="center"/>
          </w:tcPr>
          <w:p>
            <w:pPr>
              <w:widowControl/>
              <w:rPr>
                <w:rFonts w:ascii="宋体" w:hAnsi="宋体" w:cs="宋体"/>
                <w:color w:val="000000"/>
                <w:kern w:val="0"/>
                <w:szCs w:val="21"/>
              </w:rPr>
            </w:pPr>
            <w:r>
              <w:rPr>
                <w:rFonts w:hint="eastAsia" w:ascii="宋体" w:hAnsi="宋体" w:cs="宋体"/>
                <w:color w:val="000000"/>
                <w:kern w:val="0"/>
                <w:szCs w:val="21"/>
              </w:rPr>
              <w:t>对</w:t>
            </w:r>
            <w:r>
              <w:rPr>
                <w:rFonts w:ascii="宋体" w:hAnsi="宋体" w:cs="宋体"/>
                <w:color w:val="000000"/>
                <w:kern w:val="0"/>
                <w:szCs w:val="21"/>
              </w:rPr>
              <w:t>160余万户普查对象进行入户登记，确保数据真实准确</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正式调查对象数达</w:t>
            </w:r>
            <w:r>
              <w:rPr>
                <w:rFonts w:ascii="宋体" w:hAnsi="宋体" w:cs="宋体"/>
                <w:color w:val="000000"/>
                <w:kern w:val="0"/>
                <w:szCs w:val="21"/>
              </w:rPr>
              <w:t>95%以上</w:t>
            </w:r>
          </w:p>
        </w:tc>
        <w:tc>
          <w:tcPr>
            <w:tcW w:w="708" w:type="dxa"/>
            <w:vAlign w:val="center"/>
          </w:tcPr>
          <w:p>
            <w:pPr>
              <w:widowControl/>
              <w:rPr>
                <w:rFonts w:ascii="宋体" w:hAnsi="宋体" w:cs="宋体"/>
                <w:color w:val="000000"/>
                <w:kern w:val="0"/>
                <w:szCs w:val="21"/>
              </w:rPr>
            </w:pPr>
            <w:r>
              <w:rPr>
                <w:rFonts w:hint="eastAsia" w:ascii="宋体" w:hAnsi="宋体" w:cs="宋体"/>
                <w:color w:val="000000"/>
                <w:kern w:val="0"/>
                <w:szCs w:val="21"/>
              </w:rPr>
              <w:t>正式调查对象数达</w:t>
            </w:r>
            <w:r>
              <w:rPr>
                <w:rFonts w:ascii="宋体" w:hAnsi="宋体" w:cs="宋体"/>
                <w:color w:val="000000"/>
                <w:kern w:val="0"/>
                <w:szCs w:val="21"/>
              </w:rPr>
              <w:t>90%以上</w:t>
            </w:r>
          </w:p>
        </w:tc>
        <w:tc>
          <w:tcPr>
            <w:tcW w:w="851" w:type="dxa"/>
            <w:vAlign w:val="center"/>
          </w:tcPr>
          <w:p>
            <w:pPr>
              <w:widowControl/>
              <w:rPr>
                <w:rFonts w:ascii="宋体" w:hAnsi="宋体" w:cs="宋体"/>
                <w:color w:val="000000"/>
                <w:kern w:val="0"/>
                <w:szCs w:val="21"/>
              </w:rPr>
            </w:pPr>
            <w:r>
              <w:rPr>
                <w:rFonts w:hint="eastAsia" w:ascii="宋体" w:hAnsi="宋体" w:cs="宋体"/>
                <w:color w:val="000000"/>
                <w:kern w:val="0"/>
                <w:szCs w:val="21"/>
              </w:rPr>
              <w:t>正式调查对象数达</w:t>
            </w:r>
            <w:r>
              <w:rPr>
                <w:rFonts w:ascii="宋体" w:hAnsi="宋体" w:cs="宋体"/>
                <w:color w:val="000000"/>
                <w:kern w:val="0"/>
                <w:szCs w:val="21"/>
              </w:rPr>
              <w:t>85%以上</w:t>
            </w:r>
          </w:p>
        </w:tc>
        <w:tc>
          <w:tcPr>
            <w:tcW w:w="850" w:type="dxa"/>
            <w:vAlign w:val="center"/>
          </w:tcPr>
          <w:p>
            <w:pPr>
              <w:widowControl/>
              <w:rPr>
                <w:rFonts w:ascii="宋体" w:hAnsi="宋体" w:cs="宋体"/>
                <w:color w:val="000000"/>
                <w:kern w:val="0"/>
                <w:szCs w:val="21"/>
              </w:rPr>
            </w:pPr>
            <w:r>
              <w:rPr>
                <w:rFonts w:hint="eastAsia" w:ascii="宋体" w:hAnsi="宋体" w:cs="宋体"/>
                <w:color w:val="000000"/>
                <w:kern w:val="0"/>
                <w:szCs w:val="21"/>
              </w:rPr>
              <w:t>正式调查对象数达</w:t>
            </w:r>
            <w:r>
              <w:rPr>
                <w:rFonts w:ascii="宋体" w:hAnsi="宋体" w:cs="宋体"/>
                <w:color w:val="000000"/>
                <w:kern w:val="0"/>
                <w:szCs w:val="21"/>
              </w:rPr>
              <w:t>80%以上</w:t>
            </w:r>
          </w:p>
        </w:tc>
      </w:tr>
    </w:tbl>
    <w:p>
      <w:pPr>
        <w:spacing w:line="360" w:lineRule="auto"/>
        <w:jc w:val="left"/>
      </w:pPr>
    </w:p>
    <w:p>
      <w:pPr>
        <w:jc w:val="left"/>
        <w:sectPr>
          <w:headerReference r:id="rId4" w:type="default"/>
          <w:pgSz w:w="16838" w:h="11906" w:orient="landscape"/>
          <w:pgMar w:top="1800" w:right="1440" w:bottom="1800" w:left="1440" w:header="851" w:footer="992" w:gutter="0"/>
          <w:cols w:space="720" w:num="1"/>
          <w:docGrid w:type="lines" w:linePitch="312"/>
        </w:sectPr>
      </w:pPr>
    </w:p>
    <w:p>
      <w:pPr>
        <w:autoSpaceDE w:val="0"/>
        <w:autoSpaceDN w:val="0"/>
        <w:adjustRightInd w:val="0"/>
        <w:ind w:left="200"/>
        <w:jc w:val="left"/>
        <w:rPr>
          <w:rFonts w:ascii="宋体" w:eastAsia="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3" w:name="_Toc471398468"/>
      <w:r>
        <w:rPr>
          <w:rFonts w:ascii="Times New Roman" w:hAnsi="Times New Roman" w:eastAsia="方正仿宋_GBK" w:cs="Times New Roman"/>
          <w:sz w:val="32"/>
          <w:szCs w:val="24"/>
        </w:rPr>
        <w:t xml:space="preserve">   2017年，安排政府采购预算</w:t>
      </w:r>
      <w:r>
        <w:rPr>
          <w:rFonts w:hint="eastAsia" w:ascii="Times New Roman" w:hAnsi="Times New Roman" w:eastAsia="方正仿宋_GBK" w:cs="Times New Roman"/>
          <w:sz w:val="32"/>
          <w:szCs w:val="24"/>
          <w:lang w:val="en-US" w:eastAsia="zh-CN"/>
        </w:rPr>
        <w:t>17.82</w:t>
      </w:r>
      <w:r>
        <w:rPr>
          <w:rFonts w:ascii="Times New Roman" w:hAnsi="Times New Roman" w:eastAsia="方正仿宋_GBK" w:cs="Times New Roman"/>
          <w:sz w:val="32"/>
          <w:szCs w:val="24"/>
        </w:rPr>
        <w:t>万元。具体内容见下表。</w:t>
      </w:r>
      <w:bookmarkEnd w:id="3"/>
    </w:p>
    <w:p>
      <w:pPr>
        <w:pStyle w:val="9"/>
      </w:pPr>
      <w:bookmarkStart w:id="4" w:name="_Toc476153808"/>
      <w:r>
        <w:rPr>
          <w:rFonts w:hint="eastAsia"/>
        </w:rPr>
        <w:t>部门政府采购预算</w:t>
      </w:r>
      <w:bookmarkEnd w:id="4"/>
      <w:r>
        <w:rPr>
          <w:rFonts w:hint="eastAsia"/>
          <w:sz w:val="28"/>
        </w:rPr>
        <w:t xml:space="preserve">                      </w:t>
      </w:r>
      <w:r>
        <w:t xml:space="preserve">                                                </w:t>
      </w:r>
    </w:p>
    <w:tbl>
      <w:tblPr>
        <w:tblW w:w="15254" w:type="dxa"/>
        <w:jc w:val="center"/>
        <w:tblInd w:w="-1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7"/>
        <w:gridCol w:w="992"/>
        <w:gridCol w:w="1701"/>
        <w:gridCol w:w="710"/>
        <w:gridCol w:w="1371"/>
        <w:gridCol w:w="1276"/>
        <w:gridCol w:w="850"/>
        <w:gridCol w:w="567"/>
        <w:gridCol w:w="741"/>
        <w:gridCol w:w="498"/>
        <w:gridCol w:w="980"/>
        <w:gridCol w:w="980"/>
        <w:gridCol w:w="980"/>
        <w:gridCol w:w="980"/>
        <w:gridCol w:w="981"/>
      </w:tblGrid>
      <w:tr>
        <w:trPr>
          <w:cantSplit/>
          <w:trHeight w:val="232" w:hRule="atLeast"/>
          <w:tblHeader/>
          <w:jc w:val="center"/>
        </w:trPr>
        <w:tc>
          <w:tcPr>
            <w:tcW w:w="10353" w:type="dxa"/>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szCs w:val="21"/>
              </w:rPr>
            </w:pPr>
            <w:r>
              <w:rPr>
                <w:rFonts w:ascii="宋体" w:hAnsi="宋体"/>
                <w:sz w:val="28"/>
              </w:rPr>
              <w:t>212唐山市统计局</w:t>
            </w:r>
          </w:p>
        </w:tc>
        <w:tc>
          <w:tcPr>
            <w:tcW w:w="4901" w:type="dxa"/>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1371"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41"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41"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1371"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41"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1371"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41"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1371"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41" w:type="dxa"/>
            <w:vMerge w:val="continue"/>
            <w:vAlign w:val="center"/>
          </w:tcPr>
          <w:p>
            <w:pPr>
              <w:widowControl/>
              <w:jc w:val="right"/>
              <w:rPr>
                <w:rFonts w:ascii="宋体" w:hAnsi="宋体" w:cs="宋体"/>
                <w:color w:val="000000"/>
                <w:kern w:val="0"/>
                <w:szCs w:val="21"/>
              </w:rPr>
            </w:pPr>
          </w:p>
        </w:tc>
        <w:tc>
          <w:tcPr>
            <w:tcW w:w="498"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710" w:type="dxa"/>
            <w:vAlign w:val="center"/>
          </w:tcPr>
          <w:p>
            <w:pPr>
              <w:widowControl/>
              <w:jc w:val="left"/>
              <w:rPr>
                <w:rFonts w:ascii="宋体" w:hAnsi="宋体" w:cs="宋体"/>
                <w:color w:val="000000"/>
                <w:kern w:val="0"/>
                <w:szCs w:val="21"/>
              </w:rPr>
            </w:pPr>
          </w:p>
        </w:tc>
        <w:tc>
          <w:tcPr>
            <w:tcW w:w="1371" w:type="dxa"/>
            <w:vAlign w:val="center"/>
          </w:tcPr>
          <w:p>
            <w:pPr>
              <w:widowControl/>
              <w:jc w:val="left"/>
              <w:rPr>
                <w:rFonts w:ascii="宋体" w:hAnsi="宋体" w:cs="宋体"/>
                <w:color w:val="000000"/>
                <w:kern w:val="0"/>
                <w:szCs w:val="21"/>
              </w:rPr>
            </w:pPr>
          </w:p>
        </w:tc>
        <w:tc>
          <w:tcPr>
            <w:tcW w:w="1276" w:type="dxa"/>
            <w:vAlign w:val="center"/>
          </w:tcPr>
          <w:p>
            <w:pPr>
              <w:widowControl/>
              <w:jc w:val="left"/>
              <w:rPr>
                <w:rFonts w:ascii="宋体" w:hAnsi="宋体" w:cs="宋体"/>
                <w:color w:val="000000"/>
                <w:kern w:val="0"/>
                <w:szCs w:val="21"/>
              </w:rPr>
            </w:pPr>
          </w:p>
        </w:tc>
        <w:tc>
          <w:tcPr>
            <w:tcW w:w="850" w:type="dxa"/>
            <w:vAlign w:val="center"/>
          </w:tcPr>
          <w:p>
            <w:pPr>
              <w:widowControl/>
              <w:jc w:val="left"/>
              <w:rPr>
                <w:rFonts w:ascii="宋体" w:hAnsi="宋体" w:cs="宋体"/>
                <w:color w:val="000000"/>
                <w:kern w:val="0"/>
                <w:szCs w:val="21"/>
              </w:rPr>
            </w:pPr>
          </w:p>
        </w:tc>
        <w:tc>
          <w:tcPr>
            <w:tcW w:w="567" w:type="dxa"/>
            <w:vAlign w:val="center"/>
          </w:tcPr>
          <w:p>
            <w:pPr>
              <w:widowControl/>
              <w:jc w:val="left"/>
              <w:rPr>
                <w:rFonts w:ascii="宋体" w:hAnsi="宋体" w:cs="宋体"/>
                <w:color w:val="000000"/>
                <w:kern w:val="0"/>
                <w:szCs w:val="21"/>
              </w:rPr>
            </w:pPr>
          </w:p>
        </w:tc>
        <w:tc>
          <w:tcPr>
            <w:tcW w:w="741" w:type="dxa"/>
            <w:vAlign w:val="center"/>
          </w:tcPr>
          <w:p>
            <w:pPr>
              <w:widowControl/>
              <w:jc w:val="right"/>
              <w:rPr>
                <w:rFonts w:ascii="宋体" w:hAnsi="宋体" w:cs="宋体"/>
                <w:color w:val="000000"/>
                <w:kern w:val="0"/>
                <w:szCs w:val="21"/>
              </w:rPr>
            </w:pPr>
          </w:p>
        </w:tc>
        <w:tc>
          <w:tcPr>
            <w:tcW w:w="498"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17.82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17.82</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唐山市统计局（参公</w:t>
            </w:r>
            <w:r>
              <w:rPr>
                <w:rFonts w:ascii="宋体" w:hAnsi="宋体" w:cs="宋体"/>
                <w:color w:val="000000"/>
                <w:kern w:val="0"/>
                <w:szCs w:val="21"/>
              </w:rPr>
              <w:t>2户）</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2010507</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第三次全国农业普查</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A02052305</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空调机组</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格力</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2800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2.80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唐山市统计局（参公</w:t>
            </w:r>
            <w:r>
              <w:rPr>
                <w:rFonts w:ascii="宋体" w:hAnsi="宋体" w:cs="宋体"/>
                <w:color w:val="000000"/>
                <w:kern w:val="0"/>
                <w:szCs w:val="21"/>
              </w:rPr>
              <w:t>2户）</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2010507</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第三次全国农业普查</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A02010301</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防火墙</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深信服</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50000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唐山市统计局（参公</w:t>
            </w:r>
            <w:r>
              <w:rPr>
                <w:rFonts w:ascii="宋体" w:hAnsi="宋体" w:cs="宋体"/>
                <w:color w:val="000000"/>
                <w:kern w:val="0"/>
                <w:szCs w:val="21"/>
              </w:rPr>
              <w:t>2户）</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2010507</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第三次全国农业普查</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联想</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18</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9.00</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r>
        <w:trPr>
          <w:cantSplit/>
          <w:trHeight w:val="312" w:hRule="atLeast"/>
          <w:jc w:val="center"/>
        </w:trPr>
        <w:tc>
          <w:tcPr>
            <w:tcW w:w="164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唐山市统计局（参公</w:t>
            </w:r>
            <w:r>
              <w:rPr>
                <w:rFonts w:ascii="宋体" w:hAnsi="宋体" w:cs="宋体"/>
                <w:color w:val="000000"/>
                <w:kern w:val="0"/>
                <w:szCs w:val="21"/>
              </w:rPr>
              <w:t>2户）</w:t>
            </w:r>
          </w:p>
        </w:tc>
        <w:tc>
          <w:tcPr>
            <w:tcW w:w="992" w:type="dxa"/>
            <w:vAlign w:val="center"/>
          </w:tcPr>
          <w:p>
            <w:pPr>
              <w:widowControl/>
              <w:jc w:val="left"/>
              <w:rPr>
                <w:rFonts w:ascii="宋体" w:hAnsi="宋体" w:cs="宋体"/>
                <w:color w:val="000000"/>
                <w:kern w:val="0"/>
                <w:szCs w:val="21"/>
              </w:rPr>
            </w:pPr>
            <w:r>
              <w:rPr>
                <w:rFonts w:ascii="宋体" w:hAnsi="宋体" w:cs="宋体"/>
                <w:color w:val="000000"/>
                <w:kern w:val="0"/>
                <w:szCs w:val="21"/>
              </w:rPr>
              <w:t>2010507</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第三次全国农业普查</w:t>
            </w:r>
          </w:p>
        </w:tc>
        <w:tc>
          <w:tcPr>
            <w:tcW w:w="71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专项项目</w:t>
            </w:r>
          </w:p>
        </w:tc>
        <w:tc>
          <w:tcPr>
            <w:tcW w:w="1371" w:type="dxa"/>
            <w:vAlign w:val="center"/>
          </w:tcPr>
          <w:p>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激光打印机</w:t>
            </w:r>
          </w:p>
        </w:tc>
        <w:tc>
          <w:tcPr>
            <w:tcW w:w="850"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惠普</w:t>
            </w:r>
          </w:p>
        </w:tc>
        <w:tc>
          <w:tcPr>
            <w:tcW w:w="567"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台</w:t>
            </w:r>
          </w:p>
        </w:tc>
        <w:tc>
          <w:tcPr>
            <w:tcW w:w="741" w:type="dxa"/>
            <w:vAlign w:val="center"/>
          </w:tcPr>
          <w:p>
            <w:pPr>
              <w:widowControl/>
              <w:jc w:val="right"/>
              <w:rPr>
                <w:rFonts w:ascii="宋体" w:hAnsi="宋体" w:cs="宋体"/>
                <w:color w:val="000000"/>
                <w:kern w:val="0"/>
                <w:szCs w:val="21"/>
              </w:rPr>
            </w:pPr>
            <w:r>
              <w:rPr>
                <w:rFonts w:ascii="宋体" w:hAnsi="宋体" w:cs="宋体"/>
                <w:color w:val="000000"/>
                <w:kern w:val="0"/>
                <w:szCs w:val="21"/>
              </w:rPr>
              <w:t>1700</w:t>
            </w:r>
          </w:p>
        </w:tc>
        <w:tc>
          <w:tcPr>
            <w:tcW w:w="498" w:type="dxa"/>
            <w:vAlign w:val="center"/>
          </w:tcPr>
          <w:p>
            <w:pPr>
              <w:widowControl/>
              <w:jc w:val="right"/>
              <w:rPr>
                <w:rFonts w:ascii="宋体" w:hAnsi="宋体" w:cs="宋体"/>
                <w:color w:val="000000"/>
                <w:kern w:val="0"/>
                <w:szCs w:val="21"/>
              </w:rPr>
            </w:pPr>
            <w:r>
              <w:rPr>
                <w:rFonts w:ascii="宋体" w:hAnsi="宋体" w:cs="宋体"/>
                <w:color w:val="000000"/>
                <w:kern w:val="0"/>
                <w:szCs w:val="21"/>
              </w:rPr>
              <w:t>6</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980" w:type="dxa"/>
            <w:vAlign w:val="center"/>
          </w:tcPr>
          <w:p>
            <w:pPr>
              <w:widowControl/>
              <w:jc w:val="right"/>
              <w:rPr>
                <w:rFonts w:ascii="宋体" w:hAnsi="宋体" w:cs="宋体"/>
                <w:color w:val="000000"/>
                <w:kern w:val="0"/>
                <w:szCs w:val="21"/>
              </w:rPr>
            </w:pPr>
            <w:r>
              <w:rPr>
                <w:rFonts w:ascii="宋体" w:hAnsi="宋体" w:cs="宋体"/>
                <w:color w:val="000000"/>
                <w:kern w:val="0"/>
                <w:szCs w:val="21"/>
              </w:rPr>
              <w:t>1.02</w:t>
            </w:r>
          </w:p>
        </w:tc>
        <w:tc>
          <w:tcPr>
            <w:tcW w:w="980" w:type="dxa"/>
            <w:vAlign w:val="center"/>
          </w:tcPr>
          <w:p>
            <w:pPr>
              <w:widowControl/>
              <w:jc w:val="right"/>
              <w:rPr>
                <w:rFonts w:ascii="宋体" w:hAnsi="宋体" w:cs="宋体"/>
                <w:color w:val="000000"/>
                <w:kern w:val="0"/>
                <w:szCs w:val="21"/>
              </w:rPr>
            </w:pPr>
          </w:p>
        </w:tc>
        <w:tc>
          <w:tcPr>
            <w:tcW w:w="980" w:type="dxa"/>
            <w:vAlign w:val="center"/>
          </w:tcPr>
          <w:p>
            <w:pPr>
              <w:widowControl/>
              <w:jc w:val="right"/>
              <w:rPr>
                <w:rFonts w:ascii="宋体" w:hAnsi="宋体" w:cs="宋体"/>
                <w:color w:val="000000"/>
                <w:kern w:val="0"/>
                <w:szCs w:val="21"/>
              </w:rPr>
            </w:pPr>
          </w:p>
        </w:tc>
        <w:tc>
          <w:tcPr>
            <w:tcW w:w="981" w:type="dxa"/>
            <w:vAlign w:val="center"/>
          </w:tcPr>
          <w:p>
            <w:pPr>
              <w:widowControl/>
              <w:jc w:val="right"/>
              <w:rPr>
                <w:rFonts w:ascii="宋体" w:hAnsi="宋体" w:cs="宋体"/>
                <w:color w:val="000000"/>
                <w:kern w:val="0"/>
                <w:szCs w:val="21"/>
              </w:rPr>
            </w:pPr>
          </w:p>
        </w:tc>
      </w:tr>
    </w:tbl>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七、国有资产信息</w:t>
      </w:r>
    </w:p>
    <w:p>
      <w:pPr>
        <w:ind w:firstLine="640"/>
        <w:rPr>
          <w:rFonts w:hint="eastAsia" w:ascii="仿宋_GB2312" w:hAnsi="黑体" w:eastAsia="仿宋_GB2312" w:cs="Times New Roman"/>
          <w:sz w:val="32"/>
          <w:szCs w:val="32"/>
          <w:lang w:val="en-US" w:eastAsia="zh-CN"/>
        </w:rPr>
      </w:pP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1400.15</w:t>
      </w:r>
      <w:r>
        <w:rPr>
          <w:rFonts w:hint="eastAsia" w:ascii="仿宋_GB2312" w:hAnsi="黑体" w:eastAsia="仿宋_GB2312" w:cs="Times New Roman"/>
          <w:sz w:val="32"/>
          <w:szCs w:val="32"/>
        </w:rPr>
        <w:t>万元</w:t>
      </w:r>
      <w:bookmarkStart w:id="7" w:name="_GoBack"/>
      <w:bookmarkEnd w:id="7"/>
      <w:r>
        <w:rPr>
          <w:rFonts w:hint="eastAsia" w:ascii="仿宋_GB2312" w:hAnsi="黑体" w:eastAsia="仿宋_GB2312" w:cs="Times New Roman"/>
          <w:sz w:val="32"/>
          <w:szCs w:val="32"/>
        </w:rPr>
        <w:t>，本年度各单位拟购置固定资产主要为</w:t>
      </w:r>
      <w:r>
        <w:rPr>
          <w:rFonts w:hint="eastAsia" w:ascii="仿宋_GB2312" w:hAnsi="黑体" w:eastAsia="仿宋_GB2312" w:cs="Times New Roman"/>
          <w:sz w:val="32"/>
          <w:szCs w:val="32"/>
          <w:lang w:eastAsia="zh-CN"/>
        </w:rPr>
        <w:t>计算机、一体机、空调、打印机、防火墙</w:t>
      </w:r>
      <w:r>
        <w:rPr>
          <w:rFonts w:hint="eastAsia" w:ascii="仿宋_GB2312" w:hAnsi="黑体" w:eastAsia="仿宋_GB2312" w:cs="Times New Roman"/>
          <w:sz w:val="32"/>
          <w:szCs w:val="32"/>
        </w:rPr>
        <w:t>等</w:t>
      </w:r>
      <w:r>
        <w:rPr>
          <w:rFonts w:hint="eastAsia" w:ascii="仿宋_GB2312" w:hAnsi="黑体" w:eastAsia="仿宋_GB2312" w:cs="Times New Roman"/>
          <w:sz w:val="32"/>
          <w:szCs w:val="32"/>
          <w:lang w:eastAsia="zh-CN"/>
        </w:rPr>
        <w:t>，共计</w:t>
      </w:r>
      <w:r>
        <w:rPr>
          <w:rFonts w:hint="eastAsia" w:ascii="仿宋_GB2312" w:hAnsi="黑体" w:eastAsia="仿宋_GB2312" w:cs="Times New Roman"/>
          <w:sz w:val="32"/>
          <w:szCs w:val="32"/>
          <w:lang w:val="en-US" w:eastAsia="zh-CN"/>
        </w:rPr>
        <w:t>17.82万元，均是20万元以下的设备。已列入政府采购预算表。</w:t>
      </w:r>
    </w:p>
    <w:p>
      <w:pPr>
        <w:autoSpaceDE w:val="0"/>
        <w:autoSpaceDN w:val="0"/>
        <w:adjustRightInd w:val="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八、非税收入说明</w:t>
      </w:r>
    </w:p>
    <w:p>
      <w:pPr>
        <w:pStyle w:val="9"/>
      </w:pPr>
      <w:bookmarkStart w:id="5" w:name="_Toc355951230"/>
      <w:bookmarkStart w:id="6" w:name="_Toc476153809"/>
      <w:r>
        <w:rPr>
          <w:rFonts w:hint="eastAsia"/>
        </w:rPr>
        <w:t>部门组织政府非税收入预算明细表</w:t>
      </w:r>
      <w:bookmarkEnd w:id="5"/>
      <w:bookmarkEnd w:id="6"/>
      <w:r>
        <w:rPr>
          <w:rFonts w:hint="eastAsia"/>
          <w:sz w:val="24"/>
        </w:rPr>
        <w:t xml:space="preserve">   </w:t>
      </w:r>
    </w:p>
    <w:tbl>
      <w:tblPr>
        <w:tblW w:w="14538"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
        <w:gridCol w:w="1425"/>
        <w:gridCol w:w="1275"/>
        <w:gridCol w:w="1701"/>
        <w:gridCol w:w="1136"/>
        <w:gridCol w:w="992"/>
        <w:gridCol w:w="1133"/>
        <w:gridCol w:w="1133"/>
        <w:gridCol w:w="216"/>
        <w:gridCol w:w="1061"/>
        <w:gridCol w:w="1176"/>
        <w:gridCol w:w="1061"/>
        <w:gridCol w:w="1061"/>
        <w:gridCol w:w="966"/>
        <w:gridCol w:w="124"/>
      </w:tblGrid>
      <w:tr>
        <w:trPr>
          <w:gridBefore w:val="1"/>
          <w:wBefore w:w="78" w:type="dxa"/>
          <w:cantSplit/>
          <w:trHeight w:val="630" w:hRule="atLeast"/>
          <w:tblHeader/>
          <w:jc w:val="center"/>
        </w:trPr>
        <w:tc>
          <w:tcPr>
            <w:tcW w:w="9011" w:type="dxa"/>
            <w:gridSpan w:val="8"/>
            <w:tcBorders>
              <w:top w:val="nil"/>
              <w:left w:val="nil"/>
              <w:bottom w:val="single" w:color="auto" w:sz="4" w:space="0"/>
              <w:right w:val="nil"/>
            </w:tcBorders>
            <w:vAlign w:val="center"/>
          </w:tcPr>
          <w:p>
            <w:pPr>
              <w:widowControl/>
              <w:ind w:left="-38" w:leftChars="-18"/>
              <w:jc w:val="left"/>
              <w:rPr>
                <w:rFonts w:ascii="黑体" w:hAnsi="黑体" w:eastAsia="黑体" w:cs="宋体"/>
                <w:b/>
                <w:bCs/>
                <w:color w:val="000000"/>
                <w:kern w:val="0"/>
                <w:sz w:val="22"/>
              </w:rPr>
            </w:pPr>
            <w:r>
              <w:rPr>
                <w:rFonts w:ascii="宋体" w:hAnsi="宋体"/>
                <w:sz w:val="28"/>
              </w:rPr>
              <w:t>212唐山市统计局</w:t>
            </w:r>
          </w:p>
        </w:tc>
        <w:tc>
          <w:tcPr>
            <w:tcW w:w="5449" w:type="dxa"/>
            <w:gridSpan w:val="6"/>
            <w:tcBorders>
              <w:top w:val="nil"/>
              <w:left w:val="nil"/>
              <w:bottom w:val="single" w:color="auto" w:sz="4" w:space="0"/>
              <w:right w:val="nil"/>
            </w:tcBorders>
            <w:vAlign w:val="center"/>
          </w:tcPr>
          <w:p>
            <w:pPr>
              <w:widowControl/>
              <w:jc w:val="right"/>
              <w:rPr>
                <w:rFonts w:ascii="黑体" w:hAnsi="黑体" w:eastAsia="黑体" w:cs="宋体"/>
                <w:b/>
                <w:bCs/>
                <w:color w:val="000000"/>
                <w:kern w:val="0"/>
                <w:sz w:val="22"/>
              </w:rPr>
            </w:pPr>
            <w:r>
              <w:rPr>
                <w:rFonts w:ascii="宋体" w:hAnsi="宋体"/>
                <w:sz w:val="24"/>
              </w:rPr>
              <w:t>单位：万元</w:t>
            </w:r>
          </w:p>
        </w:tc>
      </w:tr>
      <w:tr>
        <w:trPr>
          <w:gridAfter w:val="1"/>
          <w:wAfter w:w="124" w:type="dxa"/>
          <w:cantSplit/>
          <w:trHeight w:val="285" w:hRule="atLeast"/>
          <w:tblHeader/>
          <w:jc w:val="center"/>
        </w:trPr>
        <w:tc>
          <w:tcPr>
            <w:tcW w:w="1503"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27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70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113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833" w:type="dxa"/>
            <w:gridSpan w:val="8"/>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纳入一般公共财政预算管理的非税收入</w:t>
            </w:r>
          </w:p>
        </w:tc>
        <w:tc>
          <w:tcPr>
            <w:tcW w:w="96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r>
      <w:tr>
        <w:trPr>
          <w:gridAfter w:val="1"/>
          <w:wAfter w:w="124" w:type="dxa"/>
          <w:cantSplit/>
          <w:trHeight w:val="465"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113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113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27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17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106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106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966" w:type="dxa"/>
            <w:vMerge w:val="continue"/>
            <w:vAlign w:val="center"/>
          </w:tcPr>
          <w:p>
            <w:pPr>
              <w:widowControl/>
              <w:jc w:val="left"/>
              <w:rPr>
                <w:rFonts w:ascii="黑体" w:hAnsi="黑体" w:eastAsia="黑体" w:cs="宋体"/>
                <w:b/>
                <w:bCs/>
                <w:color w:val="000000"/>
                <w:kern w:val="0"/>
                <w:szCs w:val="21"/>
              </w:rPr>
            </w:pPr>
          </w:p>
        </w:tc>
      </w:tr>
      <w:tr>
        <w:trPr>
          <w:gridAfter w:val="1"/>
          <w:wAfter w:w="124" w:type="dxa"/>
          <w:cantSplit/>
          <w:trHeight w:val="312"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277" w:type="dxa"/>
            <w:gridSpan w:val="2"/>
            <w:vMerge w:val="continue"/>
            <w:vAlign w:val="center"/>
          </w:tcPr>
          <w:p>
            <w:pPr>
              <w:widowControl/>
              <w:jc w:val="left"/>
              <w:rPr>
                <w:rFonts w:ascii="黑体" w:hAnsi="黑体" w:eastAsia="黑体" w:cs="宋体"/>
                <w:b/>
                <w:bCs/>
                <w:color w:val="000000"/>
                <w:kern w:val="0"/>
                <w:szCs w:val="21"/>
              </w:rPr>
            </w:pPr>
          </w:p>
        </w:tc>
        <w:tc>
          <w:tcPr>
            <w:tcW w:w="1176"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966" w:type="dxa"/>
            <w:vMerge w:val="continue"/>
            <w:vAlign w:val="center"/>
          </w:tcPr>
          <w:p>
            <w:pPr>
              <w:widowControl/>
              <w:jc w:val="left"/>
              <w:rPr>
                <w:rFonts w:ascii="黑体" w:hAnsi="黑体" w:eastAsia="黑体" w:cs="宋体"/>
                <w:b/>
                <w:bCs/>
                <w:color w:val="000000"/>
                <w:kern w:val="0"/>
                <w:szCs w:val="21"/>
              </w:rPr>
            </w:pPr>
          </w:p>
        </w:tc>
      </w:tr>
      <w:tr>
        <w:trPr>
          <w:gridAfter w:val="1"/>
          <w:wAfter w:w="124" w:type="dxa"/>
          <w:cantSplit/>
          <w:trHeight w:val="312" w:hRule="atLeast"/>
          <w:tblHeader/>
          <w:jc w:val="center"/>
        </w:trPr>
        <w:tc>
          <w:tcPr>
            <w:tcW w:w="1503" w:type="dxa"/>
            <w:gridSpan w:val="2"/>
            <w:vMerge w:val="continue"/>
            <w:vAlign w:val="center"/>
          </w:tcPr>
          <w:p>
            <w:pPr>
              <w:widowControl/>
              <w:jc w:val="left"/>
              <w:rPr>
                <w:rFonts w:ascii="宋体" w:hAnsi="宋体" w:cs="宋体"/>
                <w:color w:val="000000"/>
                <w:kern w:val="0"/>
                <w:szCs w:val="21"/>
              </w:rPr>
            </w:pPr>
          </w:p>
        </w:tc>
        <w:tc>
          <w:tcPr>
            <w:tcW w:w="1275"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1136" w:type="dxa"/>
            <w:vMerge w:val="continue"/>
            <w:vAlign w:val="center"/>
          </w:tcPr>
          <w:p>
            <w:pPr>
              <w:widowControl/>
              <w:jc w:val="right"/>
              <w:rPr>
                <w:rFonts w:ascii="宋体" w:hAnsi="宋体" w:cs="宋体"/>
                <w:color w:val="000000"/>
                <w:kern w:val="0"/>
                <w:szCs w:val="21"/>
              </w:rPr>
            </w:pPr>
          </w:p>
        </w:tc>
        <w:tc>
          <w:tcPr>
            <w:tcW w:w="992" w:type="dxa"/>
            <w:vMerge w:val="continue"/>
            <w:vAlign w:val="center"/>
          </w:tcPr>
          <w:p>
            <w:pPr>
              <w:widowControl/>
              <w:jc w:val="right"/>
              <w:rPr>
                <w:rFonts w:ascii="宋体" w:hAnsi="宋体" w:cs="宋体"/>
                <w:color w:val="000000"/>
                <w:kern w:val="0"/>
                <w:szCs w:val="21"/>
              </w:rPr>
            </w:pPr>
          </w:p>
        </w:tc>
        <w:tc>
          <w:tcPr>
            <w:tcW w:w="1133" w:type="dxa"/>
            <w:vMerge w:val="continue"/>
            <w:vAlign w:val="center"/>
          </w:tcPr>
          <w:p>
            <w:pPr>
              <w:widowControl/>
              <w:jc w:val="right"/>
              <w:rPr>
                <w:rFonts w:ascii="宋体" w:hAnsi="宋体" w:cs="宋体"/>
                <w:color w:val="000000"/>
                <w:kern w:val="0"/>
                <w:szCs w:val="21"/>
              </w:rPr>
            </w:pPr>
          </w:p>
        </w:tc>
        <w:tc>
          <w:tcPr>
            <w:tcW w:w="1133" w:type="dxa"/>
            <w:vMerge w:val="continue"/>
            <w:vAlign w:val="center"/>
          </w:tcPr>
          <w:p>
            <w:pPr>
              <w:widowControl/>
              <w:jc w:val="right"/>
              <w:rPr>
                <w:rFonts w:ascii="宋体" w:hAnsi="宋体" w:cs="宋体"/>
                <w:color w:val="000000"/>
                <w:kern w:val="0"/>
                <w:szCs w:val="21"/>
              </w:rPr>
            </w:pPr>
          </w:p>
        </w:tc>
        <w:tc>
          <w:tcPr>
            <w:tcW w:w="1277" w:type="dxa"/>
            <w:gridSpan w:val="2"/>
            <w:vMerge w:val="continue"/>
            <w:vAlign w:val="center"/>
          </w:tcPr>
          <w:p>
            <w:pPr>
              <w:widowControl/>
              <w:jc w:val="right"/>
              <w:rPr>
                <w:rFonts w:ascii="宋体" w:hAnsi="宋体" w:cs="宋体"/>
                <w:color w:val="000000"/>
                <w:kern w:val="0"/>
                <w:szCs w:val="21"/>
              </w:rPr>
            </w:pPr>
          </w:p>
        </w:tc>
        <w:tc>
          <w:tcPr>
            <w:tcW w:w="1176" w:type="dxa"/>
            <w:vMerge w:val="continue"/>
            <w:vAlign w:val="center"/>
          </w:tcPr>
          <w:p>
            <w:pPr>
              <w:widowControl/>
              <w:jc w:val="right"/>
              <w:rPr>
                <w:rFonts w:ascii="宋体" w:hAnsi="宋体" w:cs="宋体"/>
                <w:color w:val="000000"/>
                <w:kern w:val="0"/>
                <w:szCs w:val="21"/>
              </w:rPr>
            </w:pPr>
          </w:p>
        </w:tc>
        <w:tc>
          <w:tcPr>
            <w:tcW w:w="1061" w:type="dxa"/>
            <w:vMerge w:val="continue"/>
            <w:vAlign w:val="center"/>
          </w:tcPr>
          <w:p>
            <w:pPr>
              <w:widowControl/>
              <w:jc w:val="right"/>
              <w:rPr>
                <w:rFonts w:ascii="宋体" w:hAnsi="宋体" w:cs="宋体"/>
                <w:color w:val="000000"/>
                <w:kern w:val="0"/>
                <w:szCs w:val="21"/>
              </w:rPr>
            </w:pPr>
          </w:p>
        </w:tc>
        <w:tc>
          <w:tcPr>
            <w:tcW w:w="1061" w:type="dxa"/>
            <w:vMerge w:val="continue"/>
            <w:vAlign w:val="center"/>
          </w:tcPr>
          <w:p>
            <w:pPr>
              <w:widowControl/>
              <w:jc w:val="right"/>
              <w:rPr>
                <w:rFonts w:ascii="宋体" w:hAnsi="宋体" w:cs="宋体"/>
                <w:color w:val="000000"/>
                <w:kern w:val="0"/>
                <w:szCs w:val="21"/>
              </w:rPr>
            </w:pPr>
          </w:p>
        </w:tc>
        <w:tc>
          <w:tcPr>
            <w:tcW w:w="966" w:type="dxa"/>
            <w:vMerge w:val="continue"/>
            <w:vAlign w:val="center"/>
          </w:tcPr>
          <w:p>
            <w:pPr>
              <w:widowControl/>
              <w:jc w:val="right"/>
              <w:rPr>
                <w:rFonts w:ascii="宋体" w:hAnsi="宋体" w:cs="宋体"/>
                <w:color w:val="000000"/>
                <w:kern w:val="0"/>
                <w:szCs w:val="21"/>
              </w:rPr>
            </w:pPr>
          </w:p>
        </w:tc>
      </w:tr>
      <w:tr>
        <w:trPr>
          <w:gridAfter w:val="1"/>
          <w:wAfter w:w="124" w:type="dxa"/>
          <w:cantSplit/>
          <w:trHeight w:val="312" w:hRule="atLeast"/>
          <w:jc w:val="center"/>
        </w:trPr>
        <w:tc>
          <w:tcPr>
            <w:tcW w:w="1503"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唐山市统计局</w:t>
            </w:r>
          </w:p>
        </w:tc>
        <w:tc>
          <w:tcPr>
            <w:tcW w:w="1275" w:type="dxa"/>
            <w:vAlign w:val="center"/>
          </w:tcPr>
          <w:p>
            <w:pPr>
              <w:widowControl/>
              <w:jc w:val="left"/>
              <w:rPr>
                <w:rFonts w:ascii="宋体" w:hAnsi="宋体" w:cs="宋体"/>
                <w:color w:val="000000"/>
                <w:kern w:val="0"/>
                <w:szCs w:val="21"/>
              </w:rPr>
            </w:pPr>
            <w:r>
              <w:rPr>
                <w:rFonts w:ascii="宋体" w:hAnsi="宋体" w:cs="宋体"/>
                <w:color w:val="000000"/>
                <w:kern w:val="0"/>
                <w:szCs w:val="21"/>
              </w:rPr>
              <w:t>103043101</w:t>
            </w:r>
          </w:p>
        </w:tc>
        <w:tc>
          <w:tcPr>
            <w:tcW w:w="170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统计专业技术资格考试考务费</w:t>
            </w:r>
          </w:p>
        </w:tc>
        <w:tc>
          <w:tcPr>
            <w:tcW w:w="1136"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133"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133" w:type="dxa"/>
            <w:vAlign w:val="center"/>
          </w:tcPr>
          <w:p>
            <w:pPr>
              <w:widowControl/>
              <w:jc w:val="right"/>
              <w:rPr>
                <w:rFonts w:ascii="宋体" w:hAnsi="宋体" w:cs="宋体"/>
                <w:color w:val="000000"/>
                <w:kern w:val="0"/>
                <w:szCs w:val="21"/>
              </w:rPr>
            </w:pPr>
          </w:p>
        </w:tc>
        <w:tc>
          <w:tcPr>
            <w:tcW w:w="1277" w:type="dxa"/>
            <w:gridSpan w:val="2"/>
            <w:vAlign w:val="center"/>
          </w:tcPr>
          <w:p>
            <w:pPr>
              <w:widowControl/>
              <w:jc w:val="right"/>
              <w:rPr>
                <w:rFonts w:ascii="宋体" w:hAnsi="宋体" w:cs="宋体"/>
                <w:color w:val="000000"/>
                <w:kern w:val="0"/>
                <w:szCs w:val="21"/>
              </w:rPr>
            </w:pPr>
          </w:p>
        </w:tc>
        <w:tc>
          <w:tcPr>
            <w:tcW w:w="1176" w:type="dxa"/>
            <w:vAlign w:val="center"/>
          </w:tcPr>
          <w:p>
            <w:pPr>
              <w:widowControl/>
              <w:jc w:val="right"/>
              <w:rPr>
                <w:rFonts w:ascii="宋体" w:hAnsi="宋体" w:cs="宋体"/>
                <w:color w:val="000000"/>
                <w:kern w:val="0"/>
                <w:szCs w:val="21"/>
              </w:rPr>
            </w:pPr>
          </w:p>
        </w:tc>
        <w:tc>
          <w:tcPr>
            <w:tcW w:w="1061" w:type="dxa"/>
            <w:vAlign w:val="center"/>
          </w:tcPr>
          <w:p>
            <w:pPr>
              <w:widowControl/>
              <w:jc w:val="right"/>
              <w:rPr>
                <w:rFonts w:ascii="宋体" w:hAnsi="宋体" w:cs="宋体"/>
                <w:color w:val="000000"/>
                <w:kern w:val="0"/>
                <w:szCs w:val="21"/>
              </w:rPr>
            </w:pPr>
          </w:p>
        </w:tc>
        <w:tc>
          <w:tcPr>
            <w:tcW w:w="1061" w:type="dxa"/>
            <w:vAlign w:val="center"/>
          </w:tcPr>
          <w:p>
            <w:pPr>
              <w:widowControl/>
              <w:jc w:val="right"/>
              <w:rPr>
                <w:rFonts w:ascii="宋体" w:hAnsi="宋体" w:cs="宋体"/>
                <w:color w:val="000000"/>
                <w:kern w:val="0"/>
                <w:szCs w:val="21"/>
              </w:rPr>
            </w:pPr>
          </w:p>
        </w:tc>
        <w:tc>
          <w:tcPr>
            <w:tcW w:w="966" w:type="dxa"/>
            <w:vAlign w:val="center"/>
          </w:tcPr>
          <w:p>
            <w:pPr>
              <w:widowControl/>
              <w:jc w:val="right"/>
              <w:rPr>
                <w:rFonts w:ascii="宋体" w:hAnsi="宋体" w:cs="宋体"/>
                <w:color w:val="000000"/>
                <w:kern w:val="0"/>
                <w:szCs w:val="21"/>
              </w:rPr>
            </w:pPr>
          </w:p>
        </w:tc>
      </w:tr>
      <w:tr>
        <w:trPr>
          <w:gridAfter w:val="1"/>
          <w:wAfter w:w="124" w:type="dxa"/>
          <w:cantSplit/>
          <w:trHeight w:val="312" w:hRule="atLeast"/>
          <w:jc w:val="center"/>
        </w:trPr>
        <w:tc>
          <w:tcPr>
            <w:tcW w:w="1503" w:type="dxa"/>
            <w:gridSpan w:val="2"/>
            <w:vAlign w:val="center"/>
          </w:tcPr>
          <w:p>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vAlign w:val="center"/>
          </w:tcPr>
          <w:p>
            <w:pPr>
              <w:widowControl/>
              <w:jc w:val="left"/>
              <w:rPr>
                <w:rFonts w:ascii="宋体" w:hAnsi="宋体" w:cs="宋体"/>
                <w:color w:val="000000"/>
                <w:kern w:val="0"/>
                <w:szCs w:val="21"/>
              </w:rPr>
            </w:pPr>
          </w:p>
        </w:tc>
        <w:tc>
          <w:tcPr>
            <w:tcW w:w="1701" w:type="dxa"/>
            <w:vAlign w:val="center"/>
          </w:tcPr>
          <w:p>
            <w:pPr>
              <w:widowControl/>
              <w:jc w:val="left"/>
              <w:rPr>
                <w:rFonts w:ascii="宋体" w:hAnsi="宋体" w:cs="宋体"/>
                <w:color w:val="000000"/>
                <w:kern w:val="0"/>
                <w:szCs w:val="21"/>
              </w:rPr>
            </w:pPr>
          </w:p>
        </w:tc>
        <w:tc>
          <w:tcPr>
            <w:tcW w:w="1136"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992"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133" w:type="dxa"/>
            <w:vAlign w:val="center"/>
          </w:tcPr>
          <w:p>
            <w:pPr>
              <w:widowControl/>
              <w:jc w:val="right"/>
              <w:rPr>
                <w:rFonts w:ascii="宋体" w:hAnsi="宋体" w:cs="宋体"/>
                <w:color w:val="000000"/>
                <w:kern w:val="0"/>
                <w:szCs w:val="21"/>
              </w:rPr>
            </w:pPr>
            <w:r>
              <w:rPr>
                <w:rFonts w:ascii="宋体" w:hAnsi="宋体" w:cs="宋体"/>
                <w:color w:val="000000"/>
                <w:kern w:val="0"/>
                <w:szCs w:val="21"/>
              </w:rPr>
              <w:t>5.00</w:t>
            </w:r>
          </w:p>
        </w:tc>
        <w:tc>
          <w:tcPr>
            <w:tcW w:w="1133" w:type="dxa"/>
            <w:vAlign w:val="center"/>
          </w:tcPr>
          <w:p>
            <w:pPr>
              <w:widowControl/>
              <w:jc w:val="right"/>
              <w:rPr>
                <w:rFonts w:ascii="宋体" w:hAnsi="宋体" w:cs="宋体"/>
                <w:color w:val="000000"/>
                <w:kern w:val="0"/>
                <w:szCs w:val="21"/>
              </w:rPr>
            </w:pPr>
          </w:p>
        </w:tc>
        <w:tc>
          <w:tcPr>
            <w:tcW w:w="1277" w:type="dxa"/>
            <w:gridSpan w:val="2"/>
            <w:vAlign w:val="center"/>
          </w:tcPr>
          <w:p>
            <w:pPr>
              <w:widowControl/>
              <w:jc w:val="right"/>
              <w:rPr>
                <w:rFonts w:ascii="宋体" w:hAnsi="宋体" w:cs="宋体"/>
                <w:color w:val="000000"/>
                <w:kern w:val="0"/>
                <w:szCs w:val="21"/>
              </w:rPr>
            </w:pPr>
          </w:p>
        </w:tc>
        <w:tc>
          <w:tcPr>
            <w:tcW w:w="1176" w:type="dxa"/>
            <w:vAlign w:val="center"/>
          </w:tcPr>
          <w:p>
            <w:pPr>
              <w:widowControl/>
              <w:jc w:val="right"/>
              <w:rPr>
                <w:rFonts w:ascii="宋体" w:hAnsi="宋体" w:cs="宋体"/>
                <w:color w:val="000000"/>
                <w:kern w:val="0"/>
                <w:szCs w:val="21"/>
              </w:rPr>
            </w:pPr>
          </w:p>
        </w:tc>
        <w:tc>
          <w:tcPr>
            <w:tcW w:w="1061" w:type="dxa"/>
            <w:vAlign w:val="center"/>
          </w:tcPr>
          <w:p>
            <w:pPr>
              <w:widowControl/>
              <w:jc w:val="right"/>
              <w:rPr>
                <w:rFonts w:ascii="宋体" w:hAnsi="宋体" w:cs="宋体"/>
                <w:color w:val="000000"/>
                <w:kern w:val="0"/>
                <w:szCs w:val="21"/>
              </w:rPr>
            </w:pPr>
          </w:p>
        </w:tc>
        <w:tc>
          <w:tcPr>
            <w:tcW w:w="1061" w:type="dxa"/>
            <w:vAlign w:val="center"/>
          </w:tcPr>
          <w:p>
            <w:pPr>
              <w:widowControl/>
              <w:jc w:val="right"/>
              <w:rPr>
                <w:rFonts w:ascii="宋体" w:hAnsi="宋体" w:cs="宋体"/>
                <w:color w:val="000000"/>
                <w:kern w:val="0"/>
                <w:szCs w:val="21"/>
              </w:rPr>
            </w:pPr>
          </w:p>
        </w:tc>
        <w:tc>
          <w:tcPr>
            <w:tcW w:w="966" w:type="dxa"/>
            <w:vAlign w:val="center"/>
          </w:tcPr>
          <w:p>
            <w:pPr>
              <w:widowControl/>
              <w:jc w:val="right"/>
              <w:rPr>
                <w:rFonts w:ascii="宋体" w:hAnsi="宋体" w:cs="宋体"/>
                <w:color w:val="000000"/>
                <w:kern w:val="0"/>
                <w:szCs w:val="21"/>
              </w:rPr>
            </w:pPr>
          </w:p>
        </w:tc>
      </w:tr>
    </w:tbl>
    <w:p/>
    <w:p>
      <w:pPr>
        <w:numPr>
          <w:numId w:val="0"/>
        </w:numPr>
        <w:rPr>
          <w:rFonts w:hint="eastAsia" w:ascii="仿宋_GB2312" w:hAnsi="黑体" w:eastAsia="仿宋_GB2312" w:cs="Times New Roman"/>
          <w:sz w:val="32"/>
          <w:szCs w:val="32"/>
          <w:lang w:val="en-US" w:eastAsia="zh-CN"/>
        </w:rPr>
      </w:pPr>
    </w:p>
    <w:p>
      <w:pPr>
        <w:numPr>
          <w:numId w:val="0"/>
        </w:numPr>
        <w:autoSpaceDE w:val="0"/>
        <w:autoSpaceDN w:val="0"/>
        <w:adjustRightInd w:val="0"/>
        <w:ind w:leftChars="200"/>
        <w:jc w:val="left"/>
        <w:rPr>
          <w:rFonts w:hint="eastAsia" w:ascii="黑体" w:hAnsi="黑体" w:eastAsia="黑体" w:cs="Times New Roman"/>
          <w:sz w:val="32"/>
          <w:szCs w:val="32"/>
        </w:rPr>
      </w:pP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lang w:eastAsia="zh-CN"/>
        </w:rPr>
        <w:t>九、</w:t>
      </w:r>
      <w:r>
        <w:rPr>
          <w:rFonts w:hint="eastAsia" w:ascii="黑体" w:hAnsi="黑体" w:eastAsia="黑体" w:cs="Times New Roman"/>
          <w:sz w:val="32"/>
          <w:szCs w:val="32"/>
        </w:rPr>
        <w:t>名词解释</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1、一般预算收入：财政当年拨付的资金。</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numId w:val="0"/>
        </w:numPr>
        <w:autoSpaceDE w:val="0"/>
        <w:autoSpaceDN w:val="0"/>
        <w:adjustRightInd w:val="0"/>
        <w:ind w:leftChars="200" w:firstLine="640"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十、其他需要说明的事项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w:t>
      </w:r>
      <w:r>
        <w:rPr>
          <w:rFonts w:hint="eastAsia" w:ascii="仿宋_GB2312" w:hAnsi="仿宋" w:eastAsia="仿宋_GB2312"/>
          <w:sz w:val="32"/>
          <w:szCs w:val="32"/>
          <w:lang w:eastAsia="zh-CN"/>
        </w:rPr>
        <w:t>局</w:t>
      </w:r>
      <w:r>
        <w:rPr>
          <w:rFonts w:hint="eastAsia" w:ascii="仿宋_GB2312" w:hAnsi="仿宋" w:eastAsia="仿宋_GB2312"/>
          <w:sz w:val="32"/>
          <w:szCs w:val="32"/>
        </w:rPr>
        <w:t>无政府性基金预算财政拨款收支和国有资本经营预算财政拨款收支，因此相关表格数据为零。</w:t>
      </w:r>
    </w:p>
    <w:p>
      <w:pPr>
        <w:spacing w:line="560" w:lineRule="exact"/>
        <w:jc w:val="center"/>
        <w:outlineLvl w:val="0"/>
        <w:rPr>
          <w:rFonts w:hint="eastAsia" w:ascii="仿宋_GB2312" w:eastAsia="仿宋_GB2312"/>
          <w:sz w:val="32"/>
          <w:szCs w:val="32"/>
        </w:rPr>
      </w:pPr>
    </w:p>
    <w:p>
      <w:pPr>
        <w:ind w:firstLine="640" w:firstLineChars="200"/>
        <w:rPr>
          <w:rFonts w:hint="eastAsia" w:ascii="仿宋_GB2312" w:hAnsi="仿宋_GB2312" w:eastAsia="仿宋_GB2312" w:cs="仿宋_GB2312"/>
          <w:sz w:val="32"/>
          <w:szCs w:val="32"/>
        </w:rPr>
      </w:pPr>
    </w:p>
    <w:sectPr>
      <w:headerReference r:id="rId5" w:type="default"/>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_GBK">
    <w:altName w:val="Arial Unicode MS"/>
    <w:panose1 w:val="03000509000000000000"/>
    <w:charset w:val="86"/>
    <w:family w:val="auto"/>
    <w:pitch w:val="default"/>
    <w:sig w:usb0="00000000" w:usb1="080E0000" w:usb2="00000010" w:usb3="00000000" w:csb0="00040000" w:csb1="00000000"/>
  </w:font>
  <w:font w:name="方正仿宋_GBK">
    <w:altName w:val="Arial Unicode MS"/>
    <w:panose1 w:val="03000509000000000000"/>
    <w:charset w:val="86"/>
    <w:family w:val="auto"/>
    <w:pitch w:val="default"/>
    <w:sig w:usb0="00000000"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80E0000" w:usb2="00000010" w:usb3="00000000" w:csb0="00040000" w:csb1="00000000"/>
  </w:font>
  <w:font w:name="方正楷体_GBK">
    <w:altName w:val="Arial Unicode MS"/>
    <w:panose1 w:val="03000509000000000000"/>
    <w:charset w:val="86"/>
    <w:family w:val="auto"/>
    <w:pitch w:val="default"/>
    <w:sig w:usb0="00000001" w:usb1="080E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altName w:val="Arial"/>
    <w:panose1 w:val="020F0704030504030204"/>
    <w:charset w:val="00"/>
    <w:family w:val="auto"/>
    <w:pitch w:val="default"/>
    <w:sig w:usb0="00000003" w:usb1="00000000" w:usb2="00000000" w:usb3="00000000" w:csb0="20000001" w:csb1="00000000"/>
  </w:font>
  <w:font w:name="Cambria">
    <w:panose1 w:val="02040503050406030204"/>
    <w:charset w:val="00"/>
    <w:family w:val="auto"/>
    <w:pitch w:val="default"/>
    <w:sig w:usb0="A00002EF" w:usb1="4000004B" w:usb2="00000000" w:usb3="00000000" w:csb0="2000009F" w:csb1="00000000"/>
  </w:font>
  <w:font w:name="楷体">
    <w:altName w:val="楷体_GB2312"/>
    <w:panose1 w:val="02010609060101010101"/>
    <w:charset w:val="86"/>
    <w:family w:val="auto"/>
    <w:pitch w:val="default"/>
    <w:sig w:usb0="800002BF" w:usb1="38CF7CFA" w:usb2="00000016"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方正楷体">
    <w:altName w:val="楷体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2"/>
      <w:numFmt w:val="decimal"/>
      <w:suff w:val="nothing"/>
      <w:lvlText w:val="%1、"/>
      <w:lvlJc w:val="left"/>
    </w:lvl>
  </w:abstractNum>
  <w:abstractNum w:abstractNumId="11">
    <w:nsid w:val="0000000B"/>
    <w:multiLevelType w:val="singleLevel"/>
    <w:tmpl w:val="0000000B"/>
    <w:lvl w:ilvl="0" w:tentative="1">
      <w:start w:val="1"/>
      <w:numFmt w:val="chineseCounting"/>
      <w:suff w:val="nothing"/>
      <w:lvlText w:val="（%1）"/>
      <w:lvlJc w:val="left"/>
    </w:lvl>
  </w:abstractNum>
  <w:num w:numId="1">
    <w:abstractNumId w:val="10"/>
  </w:num>
  <w:num w:numId="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Times New Roman" w:hAnsi="Times New Roman" w:eastAsia="宋体" w:cs="Times New Roman"/>
      <w:sz w:val="18"/>
      <w:szCs w:val="18"/>
    </w:rPr>
  </w:style>
  <w:style w:type="character" w:customStyle="1" w:styleId="3">
    <w:name w:val="页脚 Char"/>
    <w:basedOn w:val="4"/>
    <w:link w:val="2"/>
    <w:semiHidden/>
    <w:rPr>
      <w:rFonts w:ascii="Times New Roman" w:hAnsi="Times New Roman" w:eastAsia="宋体" w:cs="Times New Roman"/>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w:basedOn w:val="4"/>
    <w:link w:val="5"/>
    <w:semiHidden/>
    <w:rPr>
      <w:rFonts w:ascii="Times New Roman" w:hAnsi="Times New Roman" w:eastAsia="宋体" w:cs="Times New Roman"/>
      <w:sz w:val="18"/>
      <w:szCs w:val="18"/>
    </w:rPr>
  </w:style>
  <w:style w:type="paragraph" w:styleId="7">
    <w:name w:val="toc 1"/>
    <w:basedOn w:val="1"/>
    <w:next w:val="1"/>
    <w:rPr>
      <w:rFonts w:ascii="Times New Roman" w:hAnsi="Times New Roman" w:eastAsia="宋体" w:cs="Times New Roman"/>
      <w:szCs w:val="24"/>
    </w:rPr>
  </w:style>
  <w:style w:type="paragraph" w:styleId="8">
    <w:name w:val="toc 2"/>
    <w:basedOn w:val="1"/>
    <w:next w:val="1"/>
    <w:pPr>
      <w:ind w:left="420" w:leftChars="200"/>
    </w:pPr>
    <w:rPr>
      <w:rFonts w:ascii="Times New Roman" w:hAnsi="Times New Roman" w:eastAsia="宋体" w:cs="Times New Roman"/>
      <w:szCs w:val="24"/>
    </w:rPr>
  </w:style>
  <w:style w:type="paragraph" w:styleId="9">
    <w:name w:val="Title"/>
    <w:basedOn w:val="1"/>
    <w:next w:val="1"/>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2017-01-21T17:29:00Z</dcterms:created>
  <dc:creator>guest</dc:creator>
  <cp:lastPrinted>2017-02-08T17:57:00Z</cp:lastPrinted>
  <dcterms:modified xsi:type="dcterms:W3CDTF">2017-06-26T09:21:25Z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