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部 门 概 况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/>
          <w:b/>
          <w:color w:val="000000"/>
          <w:sz w:val="32"/>
          <w:szCs w:val="32"/>
        </w:rPr>
      </w:pPr>
      <w:r>
        <w:rPr>
          <w:rFonts w:ascii="宋体" w:hAnsi="宋体" w:eastAsia="宋体"/>
          <w:b/>
          <w:color w:val="000000"/>
          <w:sz w:val="32"/>
          <w:szCs w:val="32"/>
        </w:rPr>
        <w:t>唐山市档案</w:t>
      </w: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馆</w:t>
      </w:r>
      <w:r>
        <w:rPr>
          <w:rFonts w:ascii="宋体" w:hAnsi="宋体" w:eastAsia="宋体"/>
          <w:b/>
          <w:color w:val="000000"/>
          <w:sz w:val="32"/>
          <w:szCs w:val="32"/>
        </w:rPr>
        <w:t>主要职责</w:t>
      </w:r>
      <w:r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  <w:t>及机构设置情况</w:t>
      </w:r>
    </w:p>
    <w:p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宋体" w:hAnsi="宋体" w:eastAsia="宋体"/>
          <w:b/>
          <w:color w:val="000000"/>
          <w:sz w:val="32"/>
          <w:szCs w:val="32"/>
        </w:rPr>
        <w:t>（一）</w:t>
      </w:r>
      <w:r>
        <w:rPr>
          <w:rFonts w:hint="eastAsia" w:ascii="楷体_GB2312" w:hAnsi="仿宋" w:eastAsia="楷体_GB2312"/>
          <w:b/>
          <w:sz w:val="32"/>
          <w:szCs w:val="32"/>
        </w:rPr>
        <w:t>部门职责</w:t>
      </w:r>
    </w:p>
    <w:p>
      <w:pPr>
        <w:ind w:firstLine="450" w:firstLineChars="150"/>
        <w:jc w:val="lef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根据《唐山市档案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lang w:eastAsia="zh-CN"/>
        </w:rPr>
        <w:t>馆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职能配置、内设机构和人员编制方案》规定，唐山市档案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lang w:eastAsia="zh-CN"/>
        </w:rPr>
        <w:t>馆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的主要职责是：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1.负责贯彻落实国家、省、市档案法律、法规和规章，研究起草档案工作地方性政策、规章，依据有关法律、法规进行档案行政执法和监督检查。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2.对全市档案事业实行宏观管理；编制档案事业中长期发展规划，并对执行情况进行监督检查。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3.指导、检查、协调全市档案科学技术研究和理论研究工作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4.负责组织全市档案科学技术研究和理论研究工作，推进全市档案工作的科学化，标准化和信息化建设。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5.制定全市档案干部队伍建设规划，组织档案专业教育和档案干部的培训工作，协助做好档案专业 评聘工作。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6.集中安全保管市直机关、社会团体、部分企事业单位档案资料，原唐山地区档案资料，唐山市撤销单位档案资料，记录本地区个历史时期的档案资料。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7.负责接收市直机关、社会团体、部分企事业单位各类载体档案资料，并进行系统化、数字化整理；向全社会征集各类有保存价值的档案资料。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8.负责接收政府公开信息，并向社会提供利用。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9.负责馆藏档案资料的化控、开放及提供利用。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10.参与全市重大活动、重大事件的各类档案资料（音像资料）的采集、收集、归档，指导相关部门收集、整理各类载体的档案资料并及时接收进馆。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11.负责全市档案信息开发，利用档案资料开展编研出版工作，收集汇编档案利用服务成果。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12.负责档案宣传工作，统一管理全市档案资料对外交流，协调全市档案工作方面的外事活动。</w:t>
      </w:r>
    </w:p>
    <w:p>
      <w:pPr>
        <w:spacing w:line="360" w:lineRule="auto"/>
        <w:ind w:firstLine="600" w:firstLineChars="2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13.承办市政府交办的其他事项。</w:t>
      </w:r>
    </w:p>
    <w:p>
      <w:pPr>
        <w:spacing w:line="360" w:lineRule="auto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（二）</w:t>
      </w:r>
      <w:r>
        <w:rPr>
          <w:rFonts w:hint="eastAsia" w:ascii="楷体_GB2312" w:hAnsi="黑体" w:eastAsia="楷体_GB2312"/>
          <w:b/>
          <w:sz w:val="32"/>
          <w:szCs w:val="32"/>
        </w:rPr>
        <w:t>机构设置情况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我馆纳入预算管理的核算单位共1个，为唐山市档案馆，单位规格及性质为正处级事业单位，经费保障形式为财政拨款。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二、部门预算安排总体情况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按照预算管理有关规定，目前我馆预算的编制实行综合预算制度，即全部收入和支出都反映的预算中。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（一）收入说明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2017年我馆预算收入945.9万元，全部为一般公共预算收入。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（二）支出说明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2017年我部预算支出945.9万元，其中：基本支出945.9万元，包括人员经费和公用经费。 正常公用经费329.31，专项公用经费112万元。</w:t>
      </w:r>
    </w:p>
    <w:p>
      <w:pPr>
        <w:spacing w:line="560" w:lineRule="exact"/>
        <w:ind w:firstLine="643" w:firstLineChars="20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（三）比上年增减情况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与2016年相比，2017年我馆收支总预算减少1525.76万元，主要是2017年没有大专项。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三、机关运行经费安排情况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我部机关运行经费预算为329.31万元。机关运行经费是指各部门的公用经费，主要包括办公及办公费、邮电费、差旅费、会议费、福利费、日常维修费、电费、水费、办公用房取暖费、办公用房物业管理费、公务用车运行维护费以及其他费用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四、财政拨款“三公”经费预算情况</w:t>
      </w:r>
    </w:p>
    <w:p>
      <w:pPr>
        <w:ind w:firstLine="42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2017年我部门“三公”经费预算安排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7.01</w:t>
      </w:r>
      <w:r>
        <w:rPr>
          <w:rFonts w:hint="eastAsia" w:ascii="仿宋" w:hAnsi="仿宋" w:eastAsia="仿宋" w:cs="仿宋"/>
          <w:sz w:val="32"/>
          <w:szCs w:val="32"/>
        </w:rPr>
        <w:t>万元，较上年预算减少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13.06</w:t>
      </w:r>
      <w:r>
        <w:rPr>
          <w:rFonts w:hint="eastAsia" w:ascii="仿宋" w:hAnsi="仿宋" w:eastAsia="仿宋" w:cs="仿宋"/>
          <w:sz w:val="32"/>
          <w:szCs w:val="32"/>
        </w:rPr>
        <w:t xml:space="preserve">万元。具体安排情况为：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（一）公务用车购置及运行费。共计安排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</w:t>
      </w:r>
      <w:r>
        <w:rPr>
          <w:rFonts w:hint="eastAsia" w:ascii="仿宋" w:hAnsi="仿宋" w:eastAsia="仿宋" w:cs="仿宋"/>
          <w:sz w:val="32"/>
          <w:szCs w:val="32"/>
        </w:rPr>
        <w:t>万元，较上年预算减少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12.8</w:t>
      </w:r>
      <w:r>
        <w:rPr>
          <w:rFonts w:hint="eastAsia" w:ascii="仿宋" w:hAnsi="仿宋" w:eastAsia="仿宋" w:cs="仿宋"/>
          <w:sz w:val="32"/>
          <w:szCs w:val="32"/>
        </w:rPr>
        <w:t>万元。①公务用车购置安排0万元，无增减变动。②公车运行维护经费安排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</w:t>
      </w:r>
      <w:r>
        <w:rPr>
          <w:rFonts w:hint="eastAsia" w:ascii="仿宋" w:hAnsi="仿宋" w:eastAsia="仿宋" w:cs="仿宋"/>
          <w:sz w:val="32"/>
          <w:szCs w:val="32"/>
        </w:rPr>
        <w:t>万元，较上年预算减少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12.8</w:t>
      </w:r>
      <w:r>
        <w:rPr>
          <w:rFonts w:hint="eastAsia" w:ascii="仿宋" w:hAnsi="仿宋" w:eastAsia="仿宋" w:cs="仿宋"/>
          <w:sz w:val="32"/>
          <w:szCs w:val="32"/>
        </w:rPr>
        <w:t>万元。减少原因为公车改革，公车数量减少。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（二）公务接待费。安排0.61万元，较上年预算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原因为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预算安排减少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（三）因公出国（境）费安排0万元，无增减变动。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  <w:lang w:eastAsia="zh-CN"/>
        </w:rPr>
        <w:t>单位绩效说明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object>
          <v:shape id="_x0000_i1025" o:spt="75" type="#_x0000_t75" style="height:754.35pt;width:697.6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>
      <w:pPr>
        <w:numPr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六、政府采购预算（见附表）</w:t>
      </w:r>
    </w:p>
    <w:p>
      <w:pPr>
        <w:numPr>
          <w:numId w:val="0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七、</w:t>
      </w:r>
      <w:bookmarkStart w:id="2" w:name="_GoBack"/>
      <w:bookmarkEnd w:id="2"/>
      <w:r>
        <w:rPr>
          <w:rFonts w:hint="eastAsia"/>
          <w:sz w:val="32"/>
          <w:szCs w:val="32"/>
          <w:lang w:eastAsia="zh-CN"/>
        </w:rPr>
        <w:t>国有资产信息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上年末固定资产金额为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403.0512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万元（详见下表），本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年度拟购置固定资产主要修裱修复设备及移动硬盘，均是20万元以下的设备，以列入政府采购预算表。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资产总额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4030511.86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汽车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324200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eastAsia="zh-CN"/>
              </w:rPr>
              <w:t>其他固定资产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423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baseline"/>
                <w:lang w:val="en-US" w:eastAsia="zh-CN"/>
              </w:rPr>
              <w:t>3706311.86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说明：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实有车辆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2辆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八、</w:t>
      </w:r>
      <w:r>
        <w:rPr>
          <w:rFonts w:hint="eastAsia" w:ascii="方正黑体简体" w:hAnsi="方正黑体简体" w:eastAsia="方正黑体简体" w:cs="方正黑体简体"/>
          <w:sz w:val="30"/>
          <w:szCs w:val="30"/>
        </w:rPr>
        <w:t>名词解释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1、一般预算收入：市级财政当年拨付的资金。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2、基本支出：为保障机构正常运转，完成日常工作任务而发生的人员支出和公用支出。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3、项目支出：是指在基本支出之外，为完成特定事业发展目标而发生的支出。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4、机关运行费：是指为保证事业单位运行，用于购买货物和服务的各项资金。主要包括：办公费、印刷费，水费、电费、邮电费、福利费、日常维修费、取暖费、物业管理费、公务车运行维护费等。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其他需要说明的事项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无政府性基金预算财政拨款收支和国有资本经营预算财政拨款收支，因此相关表格数据为零。</w:t>
      </w: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  <w:sectPr>
          <w:pgSz w:w="16838" w:h="11906" w:orient="landscape"/>
          <w:pgMar w:top="1803" w:right="1440" w:bottom="129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4"/>
      </w:pPr>
      <w:bookmarkStart w:id="0" w:name="_Toc476215256"/>
      <w:bookmarkStart w:id="1" w:name="_Toc383873147"/>
      <w:r>
        <w:rPr>
          <w:rFonts w:hint="eastAsia"/>
        </w:rPr>
        <w:t>部门政府采购预算</w:t>
      </w:r>
      <w:bookmarkEnd w:id="0"/>
      <w:bookmarkEnd w:id="1"/>
      <w:r>
        <w:rPr>
          <w:rFonts w:hint="eastAsia"/>
          <w:sz w:val="28"/>
        </w:rPr>
        <w:t xml:space="preserve">                      </w:t>
      </w:r>
      <w:r>
        <w:t xml:space="preserve">                                                </w:t>
      </w:r>
    </w:p>
    <w:tbl>
      <w:tblPr>
        <w:tblStyle w:val="6"/>
        <w:tblW w:w="15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992"/>
        <w:gridCol w:w="1701"/>
        <w:gridCol w:w="710"/>
        <w:gridCol w:w="1161"/>
        <w:gridCol w:w="1276"/>
        <w:gridCol w:w="850"/>
        <w:gridCol w:w="567"/>
        <w:gridCol w:w="846"/>
        <w:gridCol w:w="498"/>
        <w:gridCol w:w="980"/>
        <w:gridCol w:w="980"/>
        <w:gridCol w:w="980"/>
        <w:gridCol w:w="980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024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8"/>
              </w:rPr>
              <w:t>605唐山市档案局</w:t>
            </w:r>
          </w:p>
        </w:tc>
        <w:tc>
          <w:tcPr>
            <w:tcW w:w="490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所属项目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政府采购目录序号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采购物品名称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产品规格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498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901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政府采购金额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功能分类科目编码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92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一般公共预算拨款安排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政府性基金预算拨款安排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国有资本经营预算拨款安排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其他来源收入安排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tblHeader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16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Merge w:val="continue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唐山市档案馆（事业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2012604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重点档案抢救复制与修裱修复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A020499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其他图书档案设备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唐山市档案馆（事业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2012604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重点档案抢救复制与修裱修复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A020499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其他图书档案设备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唐山市档案馆（事业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2012604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重点档案抢救复制与修裱修复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A020499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其他图书档案设备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唐山市档案馆（事业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2012601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档案信息化建设、与维护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A02010508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移动存储设备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100000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唐山市档案馆（事业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2012601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新档案馆物业费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专项公用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C1204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物业管理服务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40.00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520B"/>
    <w:multiLevelType w:val="multilevel"/>
    <w:tmpl w:val="3F9752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2D7E"/>
    <w:rsid w:val="006E7D08"/>
    <w:rsid w:val="00B92D7E"/>
    <w:rsid w:val="00D81227"/>
    <w:rsid w:val="03236960"/>
    <w:rsid w:val="093653F6"/>
    <w:rsid w:val="0A432D1F"/>
    <w:rsid w:val="0E2C6519"/>
    <w:rsid w:val="198A5DF4"/>
    <w:rsid w:val="1B422500"/>
    <w:rsid w:val="1D2D3577"/>
    <w:rsid w:val="1E66650C"/>
    <w:rsid w:val="261C70BD"/>
    <w:rsid w:val="2AB874B4"/>
    <w:rsid w:val="35FB3ACC"/>
    <w:rsid w:val="3B01294A"/>
    <w:rsid w:val="3D364DC9"/>
    <w:rsid w:val="467F534B"/>
    <w:rsid w:val="4CCC59F0"/>
    <w:rsid w:val="56770518"/>
    <w:rsid w:val="57DA4172"/>
    <w:rsid w:val="74C31265"/>
    <w:rsid w:val="79F755FD"/>
    <w:rsid w:val="7A255CD7"/>
    <w:rsid w:val="7D7300B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193</Words>
  <Characters>1103</Characters>
  <Lines>9</Lines>
  <Paragraphs>2</Paragraphs>
  <ScaleCrop>false</ScaleCrop>
  <LinksUpToDate>false</LinksUpToDate>
  <CharactersWithSpaces>1294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2017-04-13T01:08:00Z</dcterms:created>
  <dc:creator>Lenovo User</dc:creator>
  <cp:lastModifiedBy>lenovo</cp:lastModifiedBy>
  <dcterms:modified xsi:type="dcterms:W3CDTF">2017-10-27T01:05:10Z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