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唐山市工业和信息化局</w:t>
      </w:r>
    </w:p>
    <w:p>
      <w:pPr>
        <w:wordWrap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2017年部门预算信息公开</w:t>
      </w:r>
    </w:p>
    <w:p>
      <w:pPr>
        <w:wordWrap/>
        <w:snapToGrid/>
        <w:spacing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按照《预算法》、《河北省预决算公开操作规程实施细则》规定，现将2017年部门预算公开如下：</w:t>
      </w:r>
    </w:p>
    <w:p>
      <w:pPr>
        <w:wordWrap/>
        <w:snapToGrid/>
        <w:spacing w:line="600" w:lineRule="exact"/>
        <w:ind w:right="0" w:firstLine="640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一、部门职责及机构设置情况</w:t>
      </w:r>
    </w:p>
    <w:p>
      <w:pPr>
        <w:wordWrap/>
        <w:snapToGrid/>
        <w:spacing w:line="600" w:lineRule="exact"/>
        <w:ind w:right="0" w:firstLine="643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部门职责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1、提出全市新型工业化发展战略和政策，协调解决新型工业化进程中的重大问题，拟订并组织实施工业、信息化的发展规划，推进产业结构战略性调整和优化升级，推进信息化和工业化融合。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2、制订并组织实施全市工业行业规划、计划和产业政策，提出优化产业布局、结构的政策建议，推进现代产业体系建设，起草地方性法规、规章草案，组织实施行业技术规范和标准，指导行业质量管理工作。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3、监测、分析全市工业运行态势，统计并发布相关信息，进行预测预警和信息引导，协调解决行业运行发展中的有关问题并提出政策建议，负责工业应急管理、产业安全和国防动员有关工作；负责工业煤、电、油、气及交通运输调度工作，组织工业重要物资的紧急调度；参与研究拟定全市电力发展的总体规划和年度计划；根据全市电力总体规划和年度计划，负责新建、扩建项目用电扩容的审查；负责电力行业管理和行政执法，编制电力运行供应调控方案，协调解决电力生产、运行和供应中的重大问题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4、负责提出全市工业、信息化固定资产投资规模、方向（含利用外资和境外投资）和国家、省、市财政性建设资金安排的意见，按市政府规定权限，审批、核准、备案省和市规划内及年度计划规模内固定资产投资项目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5、贯彻国家政策和标准，拟订高技术产业中涉及生物医药、新材料、信息产业等规划并组织实施；指导行业技术创新和技术进步，以先进适用技术改造提升传统产业；组织实施有关国家和省、市科技重大专项，推进相关科研成果产业化，推动全市软件业、信息服务业和新兴产业发展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6、承担全市振兴装备制造业的组织协调责任，贯彻执行国家重大技术装备发展和自主创新规划、政策，依托国家和省、市重点工程建设协调有关重大专项的实施，推进重大技术装备国产化，指导引进重大技术装备的消化创新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7、拟订并组织实施全市工业能源节约和资源综合利用、清洁生产促进政策，参与拟订能源节约和资源综合利用、清洁生产促进规划，组织协调相关重大示范工程和新产品、新技术、新设备、新材料的推广应用；负责完成淘汰落后产能目标任务和综合协调工作；指导散装水泥推广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8、推进全市工业体制改革和管理创新，提高行业综合素质和核心竞争力，指导相关行业加强安全生产管理。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9、统筹推进全市信息化工作，组织拟订相关政策并协调信息化建设中的重大问题，促进电信、广播电视和计算机网络融合，指导协调电子政务发展，推动跨行业、跨部门的互联互通和重要信息资源的开发利用、共享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10、负责协调维护全市信息安全和信息安全保障体系建设，指导监督重点行业重要信息系统与基础信息网络的安全保障工作，协调处理信息安全重大事件，承担跨部门、跨地区和重要时期的信息安全应急协调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11、负责对全市中小企业和民营经济的宏观指导、综合协调，会同有关部门拟订全市中小企业和民营经济的地方性法规、规章草案、发展规划和扶持政策并组织实施，协调解决发展中的重大问题。拟订并组织实施中小企业产业集群发展规划；推动建立中小企业创业风险投资引导资金，确定资金使用方向；负责中小企业信用担保体系、创业辅导体系、信用评价体系等中小企业服务体系建设，引导各类中介组织为中小企业服务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12、组织协调军工生产和军转民的有关工作。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13、开展工业、信息化的对外合作与交流。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14、承担履行《禁止化学武器公约》的组织协调工作。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15、承办市政府交办的其他事项。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（1）市工业和信息化局作为行业管理部门，主要是管规划、管政策、管标准，指导行业发展。坚持政企分开的原则，不干预企业生产经营活动。充分发挥行业协会和社会中介组织的作用。负责联系和指导市工业经济联合会及有关行业协会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（2）炼油、煤制燃料和燃料乙醇的行业管理由市发改委负责，其他石油化工和煤化工的行业管理由市工业和信息化局负责。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wordWrap/>
        <w:snapToGrid/>
        <w:spacing w:before="100" w:after="100"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（3）市发改委、工业和信息化局关于工业、信息化技改项目管理职责分工。按照规定权限，需由省发改委审批的工业、信息化技改项目，由市工业和信息化局初审，市发改委核准后，上报省发改委；按照规定权限，由市审批的工业、信息化技改项目，由市工业和信息化局审批后，报市发改委备案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二）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机构设置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bookmarkStart w:id="4" w:name="_GoBack"/>
      <w:bookmarkEnd w:id="4"/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部门机构设置情况</w:t>
      </w:r>
    </w:p>
    <w:tbl>
      <w:tblPr>
        <w:tblW w:w="11560" w:type="dxa"/>
        <w:jc w:val="center"/>
        <w:tblInd w:w="-5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4096"/>
        <w:gridCol w:w="1545"/>
        <w:gridCol w:w="1554"/>
        <w:gridCol w:w="4365"/>
      </w:tblGrid>
      <w:tr>
        <w:trPr>
          <w:trHeight w:val="567" w:hRule="exact"/>
          <w:tblHeader/>
          <w:jc w:val="center"/>
        </w:trPr>
        <w:tc>
          <w:tcPr>
            <w:tcW w:w="4096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单位名称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单位性质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单位规格</w:t>
            </w:r>
          </w:p>
        </w:tc>
        <w:tc>
          <w:tcPr>
            <w:tcW w:w="4365" w:type="dxa"/>
            <w:vMerge w:val="restart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32"/>
                <w:szCs w:val="32"/>
              </w:rPr>
              <w:t>经费保障形式</w:t>
            </w:r>
          </w:p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b/>
                <w:sz w:val="32"/>
                <w:szCs w:val="32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096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outlineLvl w:val="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outlineLvl w:val="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outlineLvl w:val="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  <w:tc>
          <w:tcPr>
            <w:tcW w:w="4365" w:type="dxa"/>
            <w:vMerge w:val="continue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outlineLvl w:val="0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4096" w:type="dxa"/>
            <w:vAlign w:val="center"/>
          </w:tcPr>
          <w:p>
            <w:pPr>
              <w:tabs>
                <w:tab w:val="left" w:pos="2665"/>
              </w:tabs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唐山市工业和信息化局</w:t>
            </w:r>
          </w:p>
        </w:tc>
        <w:tc>
          <w:tcPr>
            <w:tcW w:w="154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行政</w:t>
            </w:r>
          </w:p>
        </w:tc>
        <w:tc>
          <w:tcPr>
            <w:tcW w:w="155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正处级</w:t>
            </w:r>
          </w:p>
        </w:tc>
        <w:tc>
          <w:tcPr>
            <w:tcW w:w="436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财政拨款</w:t>
            </w:r>
          </w:p>
        </w:tc>
      </w:tr>
      <w:tr>
        <w:trPr>
          <w:trHeight w:val="567" w:hRule="exact"/>
          <w:jc w:val="center"/>
        </w:trPr>
        <w:tc>
          <w:tcPr>
            <w:tcW w:w="4096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唐山市工业经济联合会</w:t>
            </w:r>
          </w:p>
        </w:tc>
        <w:tc>
          <w:tcPr>
            <w:tcW w:w="154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参公</w:t>
            </w:r>
          </w:p>
        </w:tc>
        <w:tc>
          <w:tcPr>
            <w:tcW w:w="155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副处级</w:t>
            </w:r>
          </w:p>
        </w:tc>
        <w:tc>
          <w:tcPr>
            <w:tcW w:w="436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财政性资金基本保证</w:t>
            </w:r>
          </w:p>
        </w:tc>
      </w:tr>
      <w:tr>
        <w:trPr>
          <w:trHeight w:val="567" w:hRule="exact"/>
          <w:jc w:val="center"/>
        </w:trPr>
        <w:tc>
          <w:tcPr>
            <w:tcW w:w="4096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唐山市散装水泥办公室</w:t>
            </w:r>
          </w:p>
        </w:tc>
        <w:tc>
          <w:tcPr>
            <w:tcW w:w="154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55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436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财政性资金零补助</w:t>
            </w:r>
          </w:p>
        </w:tc>
      </w:tr>
      <w:tr>
        <w:trPr>
          <w:trHeight w:val="567" w:hRule="exact"/>
          <w:jc w:val="center"/>
        </w:trPr>
        <w:tc>
          <w:tcPr>
            <w:tcW w:w="4096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唐山市乡镇建材管理服务处</w:t>
            </w:r>
          </w:p>
        </w:tc>
        <w:tc>
          <w:tcPr>
            <w:tcW w:w="154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55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436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财政性资金基本保证</w:t>
            </w:r>
          </w:p>
        </w:tc>
      </w:tr>
      <w:tr>
        <w:trPr>
          <w:trHeight w:val="567" w:hRule="exact"/>
          <w:jc w:val="center"/>
        </w:trPr>
        <w:tc>
          <w:tcPr>
            <w:tcW w:w="4096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唐山市化工研究所</w:t>
            </w:r>
          </w:p>
        </w:tc>
        <w:tc>
          <w:tcPr>
            <w:tcW w:w="154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55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436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财政性资金定额或定项补助</w:t>
            </w:r>
          </w:p>
        </w:tc>
      </w:tr>
      <w:tr>
        <w:trPr>
          <w:trHeight w:val="610" w:hRule="exact"/>
          <w:jc w:val="center"/>
        </w:trPr>
        <w:tc>
          <w:tcPr>
            <w:tcW w:w="4096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唐山市机械电子研究所</w:t>
            </w:r>
          </w:p>
        </w:tc>
        <w:tc>
          <w:tcPr>
            <w:tcW w:w="154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事业</w:t>
            </w:r>
          </w:p>
        </w:tc>
        <w:tc>
          <w:tcPr>
            <w:tcW w:w="1554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正科级</w:t>
            </w:r>
          </w:p>
        </w:tc>
        <w:tc>
          <w:tcPr>
            <w:tcW w:w="4365" w:type="dxa"/>
            <w:vAlign w:val="center"/>
          </w:tcPr>
          <w:p>
            <w:pPr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财政性资金定额或定项补助</w:t>
            </w:r>
          </w:p>
        </w:tc>
      </w:tr>
    </w:tbl>
    <w:p>
      <w:pPr>
        <w:wordWrap/>
        <w:snapToGrid/>
        <w:spacing w:line="600" w:lineRule="exact"/>
        <w:ind w:right="0"/>
        <w:textAlignment w:val="auto"/>
      </w:pPr>
    </w:p>
    <w:p>
      <w:pPr>
        <w:wordWrap/>
        <w:snapToGrid/>
        <w:spacing w:line="600" w:lineRule="exact"/>
        <w:ind w:right="0" w:firstLine="640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二、部门预算安排的总体情况</w:t>
      </w: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1、收入说明</w:t>
      </w: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反映本部门当年全部收入，2017年预算收入3114.14万元，其中：一般公共预算拨款3058.14万元，政府性基金预算收入56万元。</w:t>
      </w:r>
    </w:p>
    <w:p>
      <w:pPr>
        <w:numPr>
          <w:ilvl w:val="0"/>
          <w:numId w:val="1"/>
        </w:numPr>
        <w:wordWrap/>
        <w:snapToGrid/>
        <w:spacing w:line="600" w:lineRule="exact"/>
        <w:ind w:right="0"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支出说明</w:t>
      </w:r>
    </w:p>
    <w:p>
      <w:pPr>
        <w:wordWrap/>
        <w:snapToGrid/>
        <w:spacing w:line="60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收支预算总表支出栏、基本支出表、项目支出表按经济分类和支出功能分类科目编制，反映本部门年度部门预算中支出预算的总体情况。2017年部门支出预算为3114.14万元，其中基本支出2894.14万元，包括人员经费2307.96万元和公用经费586.18万元；专项项目支出220万元，全部为本级支出。</w:t>
      </w:r>
    </w:p>
    <w:p>
      <w:pPr>
        <w:numPr>
          <w:ilvl w:val="0"/>
          <w:numId w:val="1"/>
        </w:numPr>
        <w:wordWrap/>
        <w:snapToGrid/>
        <w:spacing w:line="600" w:lineRule="exact"/>
        <w:ind w:right="0"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比上年增减情况</w:t>
      </w:r>
    </w:p>
    <w:p>
      <w:pPr>
        <w:wordWrap/>
        <w:snapToGrid/>
        <w:spacing w:line="600" w:lineRule="exact"/>
        <w:ind w:right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2017年部门预算较2016年增长146.73万元，其中：基本支出减少59.27万元；项目支出增长206万元。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三、局机关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运行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经费安排情况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机关正常公用经费共计安排221.63万元，包括定额安排公用经费114.83万元和按规定比例提取安排公用经费106.8万元。主要用于保证机关正常运转的办公费、邮电费、差旅费、福利费、日常维修（护）费、物业管理费、公务车运行维护费等支出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四、财政拨款“三公”经费预算情况及增减变化原因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2017年，财政拨款“三公”经费预算安排29.13万元，其中：因公出国（境）费0万元；公务用车购置及运维费27.2万元（其中：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公务用车购置费0万元，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公务用车运行费27.2万元)；公务接待费1.93万元。“三公”经费比上年减少20.99万元。其中：因公出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（境）费与上年无变化；公务用车购置及运维费比上年减少19.8万元（其中：公务用车运行费减少19.8万元)，主要原因为机关车改，公务车数量减少；公务接待费比上年减少1.19万元，主要原因为公务接待费为按规定比例提取安排的公用经费，机关定额安排公用经费数减少，故公务接待费减少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五、绩效预算信息</w:t>
      </w:r>
    </w:p>
    <w:p>
      <w:pPr>
        <w:wordWrap/>
        <w:snapToGrid/>
        <w:spacing w:line="600" w:lineRule="exact"/>
        <w:ind w:righ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bookmarkStart w:id="0" w:name="_Toc471398463"/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  <w:lang w:val="en-US" w:eastAsia="zh-CN"/>
        </w:rPr>
        <w:t>一）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总体绩效目标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到2020年，全市工业转型升级取得显著成效，综合竞争力显著提升，跻身沿海城市“第二梯队”中上游，实现从“工业大市”向“工业强市”的重大跨越，把我市建设成为环渤海地区新型工业化基地。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综合实力显著增强。到2020年全市规模以上企业超过2600家，工业经济总量达到6000亿元，跻身全国城市前十强。到2020年，主营业务收入超过50亿元的大企业集团达到80家以上，其中主营业务收入超过100亿元的大企业集团达到20家以上，入围中国制造业500强企业达到10家。培育1500家成长型中小企业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产业结构持续优化。传统产业竞争力明显增强，产业链不断完善，终端商品比例明显提高。装备制造业、战略性新兴产业增加值年均增长20%以上，到2020年占规模以上工业比重分别达到25%和12%以上，工业经济增长实现由单一传统产业向多产业支撑转变。每年实施技术改造和转型升级产业项目100项，全市工业固定资产投资年均增长16%以上，企业技术改造投资年均增长12%以上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两化融合深度发展。全市信息化与工业化融合发展指数达到80%以上。每年实施两化深度融合项目100项，培育两化深度融合示范企业10-15家。到2020年，重点骨干企业信息技术集成应用达到国内先进水平，主要行业大中型企业关键工序数控化率达到80%。传统支柱产业 80%的核心装备达到国际先进水平。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创新能力大为增强。每年滚动实施重大专利技术产业化项目30项，转化专利技术100项，有效发明专利拥有量年均增长10%以上；传统支柱产业80%的核心装备达到国际先进水平；到2020年，85%以上的规模以上企业建立科技研发机构，规模以上企业研发支出占销售收入的比重达到2%，科技创新能力和水平位居全省前列。</w:t>
      </w:r>
    </w:p>
    <w:p>
      <w:pPr>
        <w:wordWrap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——节能减排成效显著。全面完成化解过剩产能任务，完成省达万元工业增加值能耗降低率任务。</w:t>
      </w:r>
    </w:p>
    <w:p>
      <w:pPr>
        <w:numPr>
          <w:ilvl w:val="0"/>
          <w:numId w:val="2"/>
        </w:numPr>
        <w:wordWrap/>
        <w:snapToGrid/>
        <w:spacing w:line="600" w:lineRule="exact"/>
        <w:ind w:right="0" w:firstLine="643" w:firstLineChars="200"/>
        <w:jc w:val="left"/>
        <w:textAlignment w:val="auto"/>
        <w:outlineLvl w:val="0"/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32"/>
        </w:rPr>
        <w:t>部门职责及工作活动绩效目标指标</w:t>
      </w: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ascii="方正仿宋简体" w:hAnsi="方正仿宋简体" w:eastAsia="方正仿宋简体" w:cs="方正仿宋简体"/>
          <w:sz w:val="32"/>
          <w:szCs w:val="32"/>
        </w:rPr>
      </w:pPr>
      <w:bookmarkStart w:id="1" w:name="_Toc383873147"/>
      <w:bookmarkStart w:id="2" w:name="_Toc476225373"/>
      <w:r>
        <w:rPr>
          <w:rFonts w:hint="eastAsia" w:ascii="黑体" w:hAnsi="黑体" w:eastAsia="黑体"/>
          <w:b/>
          <w:sz w:val="32"/>
          <w:szCs w:val="32"/>
        </w:rPr>
        <w:t>部门</w:t>
      </w:r>
      <w:bookmarkEnd w:id="1"/>
      <w:r>
        <w:rPr>
          <w:rFonts w:hint="eastAsia" w:ascii="黑体" w:hAnsi="黑体" w:eastAsia="黑体"/>
          <w:b/>
          <w:sz w:val="32"/>
          <w:szCs w:val="32"/>
        </w:rPr>
        <w:t>职责-工作活动绩效目标</w:t>
      </w:r>
      <w:bookmarkEnd w:id="0"/>
      <w:bookmarkEnd w:id="2"/>
    </w:p>
    <w:tbl>
      <w:tblPr>
        <w:tblW w:w="1474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3827"/>
        <w:gridCol w:w="2693"/>
        <w:gridCol w:w="1843"/>
        <w:gridCol w:w="851"/>
        <w:gridCol w:w="708"/>
        <w:gridCol w:w="851"/>
        <w:gridCol w:w="850"/>
        <w:gridCol w:w="144"/>
      </w:tblGrid>
      <w:tr>
        <w:trPr>
          <w:cantSplit/>
          <w:tblHeader/>
        </w:trPr>
        <w:tc>
          <w:tcPr>
            <w:tcW w:w="9498" w:type="dxa"/>
            <w:gridSpan w:val="4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623唐山市工业和信息化局</w:t>
            </w:r>
          </w:p>
        </w:tc>
        <w:tc>
          <w:tcPr>
            <w:tcW w:w="5247" w:type="dxa"/>
            <w:gridSpan w:val="6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blHeader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年度预算数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内容描述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绩效目标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绩效指标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312" w:hRule="atLeast"/>
          <w:tblHeader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优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良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中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312" w:hRule="atLeast"/>
          <w:tblHeader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312" w:hRule="atLeast"/>
          <w:tblHeader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2560" w:hRule="exact"/>
        </w:trPr>
        <w:tc>
          <w:tcPr>
            <w:tcW w:w="170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支持新型工业化发展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220.00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制定工业和信息化发展战略、规划。组织全市工业技术改造工作，推进企业技术创新体系建设。组织协调推进企业兼并重组、淘汰落后产能和化解过剩产能、工业节能与资源综合利用工作，组织实施重大专项，推进产业结构战略性调整和优化升级，加快现代产业体系建设。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加大我市工业转型升级步伐，提升工业发展的质量和效益。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220.00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国家级奖励标准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100万元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高于或低于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被奖励单位满意度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95%以上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85%以上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省级奖励标准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20万元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高于或低于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完成时限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2017年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晚于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市级奖励户数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奖励总数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220万元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高于或低于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国家级奖励户数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扶持企业技术创新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220.00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实施全市工业行业技术基础工作，加快以企业为主体的技术创新体系建设，制定企业技术创新有关激励政策，推动技术创新和产学研相结合，组织实施国家重大专项，组织实施全市重大产业化示范工程。推动全市新兴产业发展。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省级奖励户数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8家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多于或少于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44" w:type="dxa"/>
          <w:cantSplit/>
          <w:trHeight w:val="1920" w:hRule="exact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市级奖励标准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10万元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高于或低于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10万元</w:t>
            </w:r>
          </w:p>
        </w:tc>
      </w:tr>
    </w:tbl>
    <w:p>
      <w:pPr>
        <w:wordWrap/>
        <w:snapToGrid/>
        <w:spacing w:line="600" w:lineRule="exact"/>
        <w:ind w:right="0"/>
        <w:textAlignment w:val="auto"/>
        <w:outlineLvl w:val="0"/>
        <w:rPr>
          <w:rFonts w:ascii="方正小标宋_GBK" w:eastAsia="方正小标宋_GBK"/>
          <w:sz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六、政府采购预算情况</w:t>
      </w:r>
      <w:bookmarkStart w:id="3" w:name="_Toc471398468"/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sz w:val="32"/>
          <w:szCs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24"/>
        </w:rPr>
        <w:t>2017年，安排政府采购预算150.6万元。具体内容见下表。</w:t>
      </w:r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24"/>
        </w:rPr>
        <w:t>部门政府采购预算</w:t>
      </w:r>
      <w:bookmarkEnd w:id="3"/>
    </w:p>
    <w:p>
      <w:pPr>
        <w:wordWrap/>
        <w:snapToGrid/>
        <w:spacing w:line="600" w:lineRule="exact"/>
        <w:ind w:right="0"/>
        <w:jc w:val="center"/>
        <w:textAlignment w:val="auto"/>
        <w:outlineLvl w:val="0"/>
        <w:rPr>
          <w:rFonts w:ascii="方正小标宋_GBK" w:hAnsi="Times New Roman" w:eastAsia="方正小标宋_GBK" w:cs="Times New Roman"/>
          <w:sz w:val="32"/>
          <w:szCs w:val="24"/>
        </w:rPr>
      </w:pPr>
    </w:p>
    <w:tbl>
      <w:tblPr>
        <w:tblW w:w="15287" w:type="dxa"/>
        <w:jc w:val="center"/>
        <w:tblInd w:w="-1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988"/>
        <w:gridCol w:w="1693"/>
        <w:gridCol w:w="708"/>
        <w:gridCol w:w="1364"/>
        <w:gridCol w:w="1270"/>
        <w:gridCol w:w="846"/>
        <w:gridCol w:w="565"/>
        <w:gridCol w:w="842"/>
        <w:gridCol w:w="496"/>
        <w:gridCol w:w="975"/>
        <w:gridCol w:w="975"/>
        <w:gridCol w:w="975"/>
        <w:gridCol w:w="975"/>
        <w:gridCol w:w="976"/>
      </w:tblGrid>
      <w:tr>
        <w:trPr>
          <w:cantSplit/>
          <w:trHeight w:val="232" w:hRule="atLeast"/>
          <w:tblHeader/>
          <w:jc w:val="center"/>
        </w:trPr>
        <w:tc>
          <w:tcPr>
            <w:tcW w:w="1041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623唐山市工业和信息化局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单位：万元</w:t>
            </w:r>
          </w:p>
        </w:tc>
      </w:tr>
      <w:tr>
        <w:trPr>
          <w:cantSplit/>
          <w:trHeight w:val="232" w:hRule="atLeast"/>
          <w:tblHeader/>
          <w:jc w:val="center"/>
        </w:trPr>
        <w:tc>
          <w:tcPr>
            <w:tcW w:w="16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所属项目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政府采购目录序号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采购物品名称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政府采购金额</w:t>
            </w:r>
          </w:p>
        </w:tc>
      </w:tr>
      <w:tr>
        <w:trPr>
          <w:cantSplit/>
          <w:trHeight w:val="232" w:hRule="atLeast"/>
          <w:tblHeader/>
          <w:jc w:val="center"/>
        </w:trPr>
        <w:tc>
          <w:tcPr>
            <w:tcW w:w="1639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</w:tr>
      <w:tr>
        <w:trPr>
          <w:cantSplit/>
          <w:trHeight w:val="373" w:hRule="atLeast"/>
          <w:tblHeader/>
          <w:jc w:val="center"/>
        </w:trPr>
        <w:tc>
          <w:tcPr>
            <w:tcW w:w="1639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</w:tr>
      <w:tr>
        <w:trPr>
          <w:cantSplit/>
          <w:trHeight w:val="373" w:hRule="atLeast"/>
          <w:tblHeader/>
          <w:jc w:val="center"/>
        </w:trPr>
        <w:tc>
          <w:tcPr>
            <w:tcW w:w="1639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rPr>
          <w:cantSplit/>
          <w:trHeight w:val="312" w:hRule="atLeast"/>
          <w:tblHeader/>
          <w:jc w:val="center"/>
        </w:trPr>
        <w:tc>
          <w:tcPr>
            <w:tcW w:w="1639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合计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150.60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150.60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2010401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购置空调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A0206180203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空调机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海信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0.90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2010401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购置计算机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A02010104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台式计算机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联想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2010402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购置多功能一体机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A0201060199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其他打印设备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惠普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2010401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购置铁皮柜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A060503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金属质柜类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铁皮柜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2010402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网络与信息安全专项检查和培训工作经费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C020604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安全运维服务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技术服务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2010499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经济运行监测经费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C99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其他服务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125000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50.00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639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唐山市工业和信息化局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2159999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“智慧唐山”建设工作经费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C020899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其他信息技术咨询服务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信息服务</w:t>
            </w:r>
          </w:p>
        </w:tc>
        <w:tc>
          <w:tcPr>
            <w:tcW w:w="56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710000</w:t>
            </w:r>
          </w:p>
        </w:tc>
        <w:tc>
          <w:tcPr>
            <w:tcW w:w="49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71.00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left="198" w:right="0" w:firstLine="640" w:firstLineChars="200"/>
        <w:jc w:val="left"/>
        <w:textAlignment w:val="auto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七、国有资产信息</w:t>
      </w:r>
    </w:p>
    <w:p>
      <w:pPr>
        <w:wordWrap/>
        <w:snapToGrid/>
        <w:spacing w:line="600" w:lineRule="exact"/>
        <w:ind w:right="0" w:firstLine="64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年末固定资产金额为651.02万元（详见下表），本年度各单位拟购置固定资产主要为计算机、一体机、空调、铁皮柜等，共计4.6万元，均是20万元以下的设备。本年预算拟购置的固定资产为其他固定资产，共计4.6万元,已列入政府采购预算表。</w:t>
      </w:r>
    </w:p>
    <w:tbl>
      <w:tblPr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rPr>
          <w:jc w:val="center"/>
        </w:trPr>
        <w:tc>
          <w:tcPr>
            <w:tcW w:w="14174" w:type="dxa"/>
            <w:gridSpan w:val="3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固定资产占用情况表</w:t>
            </w:r>
          </w:p>
        </w:tc>
      </w:tr>
      <w:tr>
        <w:trPr>
          <w:jc w:val="center"/>
        </w:trPr>
        <w:tc>
          <w:tcPr>
            <w:tcW w:w="14174" w:type="dxa"/>
            <w:gridSpan w:val="3"/>
            <w:vAlign w:val="top"/>
          </w:tcPr>
          <w:p>
            <w:pPr>
              <w:wordWrap/>
              <w:snapToGrid/>
              <w:spacing w:line="600" w:lineRule="exact"/>
              <w:ind w:right="0"/>
              <w:jc w:val="right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截止时间：2016年12月31日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sz w:val="32"/>
                <w:szCs w:val="32"/>
              </w:rPr>
              <w:t>价值（金额单位：万元）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资产总额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--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651.02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1.房屋（平方米）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4572.49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113.35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其中：办公用房（平方米）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1340.24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22.31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2.车辆（台、辆）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149.49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3.单价在20万元以上设备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--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0</w:t>
            </w:r>
          </w:p>
        </w:tc>
      </w:tr>
      <w:tr>
        <w:trPr>
          <w:jc w:val="center"/>
        </w:trPr>
        <w:tc>
          <w:tcPr>
            <w:tcW w:w="4724" w:type="dxa"/>
            <w:vAlign w:val="top"/>
          </w:tcPr>
          <w:p>
            <w:pPr>
              <w:wordWrap/>
              <w:snapToGrid/>
              <w:spacing w:line="600" w:lineRule="exact"/>
              <w:ind w:right="0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4.其他固定资产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--</w:t>
            </w:r>
          </w:p>
        </w:tc>
        <w:tc>
          <w:tcPr>
            <w:tcW w:w="4725" w:type="dxa"/>
            <w:vAlign w:val="top"/>
          </w:tcPr>
          <w:p>
            <w:pPr>
              <w:wordWrap/>
              <w:snapToGrid/>
              <w:spacing w:line="600" w:lineRule="exact"/>
              <w:ind w:right="0"/>
              <w:jc w:val="center"/>
              <w:textAlignment w:val="auto"/>
              <w:rPr>
                <w:rFonts w:ascii="仿宋_GB2312" w:hAnsi="黑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</w:rPr>
              <w:t>388.18</w:t>
            </w:r>
          </w:p>
        </w:tc>
      </w:tr>
    </w:tbl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ascii="宋体-方正超大字符集" w:hAnsi="宋体-方正超大字符集" w:eastAsia="宋体-方正超大字符集" w:cs="宋体-方正超大字符集"/>
          <w:b/>
          <w:bCs/>
          <w:sz w:val="32"/>
          <w:szCs w:val="32"/>
        </w:rPr>
      </w:pP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八、名词解释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1、一般预算收入：市级财政当年拨付的资金。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2、基本支出：为保障机构正常运转，完成日常工作任务，而发生的人员支出和公用支出。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3、项目支出：是指在基本支出之外，为完成特定行政任务和事业发展目标，而发生的支出。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物业服务费、公务车运行维护费等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九、其他需要说明的事项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utoSpaceDE w:val="0"/>
        <w:autoSpaceDN w:val="0"/>
        <w:adjustRightInd w:val="0"/>
        <w:snapToGrid/>
        <w:spacing w:line="600" w:lineRule="exact"/>
        <w:ind w:right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/>
        <w:snapToGrid/>
        <w:spacing w:line="600" w:lineRule="exact"/>
        <w:ind w:righ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singleLevel"/>
    <w:tmpl w:val="00000008"/>
    <w:lvl w:ilvl="0" w:tentative="1">
      <w:start w:val="2"/>
      <w:numFmt w:val="decimal"/>
      <w:suff w:val="nothing"/>
      <w:lvlText w:val="%1、"/>
      <w:lvlJc w:val="left"/>
    </w:lvl>
  </w:abstractNum>
  <w:abstractNum w:abstractNumId="9">
    <w:nsid w:val="00000009"/>
    <w:multiLevelType w:val="singleLevel"/>
    <w:tmpl w:val="00000009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8"/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宋体" w:cs="Times New Roman"/>
      <w:sz w:val="18"/>
      <w:szCs w:val="18"/>
    </w:rPr>
  </w:style>
  <w:style w:type="paragraph" w:styleId="7">
    <w:name w:val="toc 1"/>
    <w:basedOn w:val="1"/>
    <w:next w:val="1"/>
    <w:rPr>
      <w:rFonts w:ascii="Times New Roman" w:hAnsi="Times New Roman" w:cs="Times New Roman"/>
      <w:szCs w:val="24"/>
    </w:rPr>
  </w:style>
  <w:style w:type="paragraph" w:styleId="8">
    <w:name w:val="toc 2"/>
    <w:basedOn w:val="1"/>
    <w:next w:val="1"/>
    <w:pPr>
      <w:ind w:left="420" w:leftChars="200"/>
    </w:pPr>
    <w:rPr>
      <w:rFonts w:ascii="Times New Roman" w:hAnsi="Times New Roman" w:cs="Times New Roman"/>
      <w:szCs w:val="24"/>
    </w:rPr>
  </w:style>
  <w:style w:type="paragraph" w:styleId="9">
    <w:name w:val="Title"/>
    <w:basedOn w:val="1"/>
    <w:next w:val="1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877</Words>
  <Characters>4999</Characters>
  <Lines>41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2017-01-22T09:29:00Z</dcterms:created>
  <dc:creator>guest</dc:creator>
  <cp:lastPrinted>2017-04-28T06:27:00Z</cp:lastPrinted>
  <dcterms:modified xsi:type="dcterms:W3CDTF">2017-11-02T13:16:46Z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