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ind w:left="0" w:leftChars="0" w:right="0" w:rightChars="0" w:firstLine="883" w:firstLineChars="200"/>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kinsoku/>
        <w:wordWrap/>
        <w:overflowPunct/>
        <w:topLinePunct w:val="0"/>
        <w:bidi w:val="0"/>
        <w:snapToGrid/>
        <w:ind w:left="0" w:leftChars="0" w:right="0" w:rightChars="0" w:firstLine="883" w:firstLineChars="200"/>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kinsoku/>
        <w:wordWrap/>
        <w:overflowPunct/>
        <w:topLinePunct w:val="0"/>
        <w:bidi w:val="0"/>
        <w:snapToGrid/>
        <w:ind w:left="0" w:leftChars="0" w:right="0" w:rightChars="0" w:firstLine="883" w:firstLineChars="20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唐山市总工会</w:t>
      </w:r>
      <w:r>
        <w:rPr>
          <w:rFonts w:hint="eastAsia" w:ascii="方正小标宋简体" w:hAnsi="方正小标宋简体" w:eastAsia="方正小标宋简体" w:cs="方正小标宋简体"/>
          <w:b/>
          <w:bCs/>
          <w:sz w:val="44"/>
          <w:szCs w:val="44"/>
          <w:lang w:val="en-US" w:eastAsia="zh-CN"/>
        </w:rPr>
        <w:t>2016年部门概况及决算说明</w:t>
      </w:r>
    </w:p>
    <w:p>
      <w:pPr>
        <w:keepNext w:val="0"/>
        <w:keepLines w:val="0"/>
        <w:pageBreakBefore w:val="0"/>
        <w:kinsoku/>
        <w:wordWrap/>
        <w:overflowPunct/>
        <w:topLinePunct w:val="0"/>
        <w:bidi w:val="0"/>
        <w:snapToGrid/>
        <w:ind w:left="0" w:leftChars="0" w:right="0" w:rightChars="0"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numPr>
          <w:ilvl w:val="0"/>
          <w:numId w:val="0"/>
        </w:numPr>
        <w:kinsoku/>
        <w:wordWrap/>
        <w:overflowPunct/>
        <w:topLinePunct w:val="0"/>
        <w:bidi w:val="0"/>
        <w:snapToGrid/>
        <w:ind w:leftChars="200" w:right="0" w:rightChars="0"/>
        <w:textAlignment w:val="auto"/>
        <w:rPr>
          <w:rFonts w:hint="eastAsia" w:ascii="方正仿宋简体" w:hAnsi="方正仿宋简体" w:eastAsia="方正仿宋简体" w:cs="方正仿宋简体"/>
          <w:b/>
          <w:bCs/>
          <w:sz w:val="32"/>
          <w:szCs w:val="32"/>
          <w:lang w:val="en-US" w:eastAsia="zh-CN"/>
        </w:rPr>
      </w:pPr>
      <w:r>
        <w:rPr>
          <w:rFonts w:hint="eastAsia" w:ascii="方正黑体简体" w:hAnsi="方正黑体简体" w:eastAsia="方正黑体简体" w:cs="方正黑体简体"/>
          <w:b/>
          <w:bCs/>
          <w:sz w:val="32"/>
          <w:szCs w:val="32"/>
          <w:lang w:val="en-US" w:eastAsia="zh-CN"/>
        </w:rPr>
        <w:t xml:space="preserve">    一、部门职责和机构设置情况</w:t>
      </w:r>
    </w:p>
    <w:p>
      <w:pPr>
        <w:keepNext w:val="0"/>
        <w:keepLines w:val="0"/>
        <w:pageBreakBefore w:val="0"/>
        <w:numPr>
          <w:ilvl w:val="0"/>
          <w:numId w:val="0"/>
        </w:numPr>
        <w:kinsoku/>
        <w:wordWrap/>
        <w:overflowPunct/>
        <w:topLinePunct w:val="0"/>
        <w:bidi w:val="0"/>
        <w:snapToGrid/>
        <w:ind w:left="0" w:leftChars="0" w:right="0" w:righ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 xml:space="preserve">  （一）部门职责</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right="0" w:rightChars="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 xml:space="preserve">    根据《唐山市总工会职能配置、内设机构和人员编制方案》规定，唐山市总工会的主要职责是：</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1.根据党的基本理论、基本路线、基本纲领和工运方针，围绕党和全市工作大局，贯彻执行中国工会全国代表大会、省工会代表大会和市工会代表大会确定的方针任务和作出的决议。</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2.依照法律和中国工会章程，组织和指导全市各级工会坚定不移地推动党的全心全意依靠工人阶级根本指导方针的贯彻落实，进一步突出和履行维护职能。</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3.围绕职工合法权益的重大问题进行调研，向市委、市政府和全总、省总反映职工群众的思想、愿望和要求，提出意见和要求；参与涉及职工切身利益的有关立法和政策、措施、制度的拟定；参与职工重大伤亡事故的调查处理。</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4.负责工会理论政策研究；参与指导劳动合同签订工作；直到基层工会开展群众性技术创新活动；指导基层工会协助党政不断提高职工的思想道德和科学文化技术素质。</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5.按照干部管理权限纲领市总产业工会领导班子和领导干部；负责市直单位工会干部的培训工作。</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6.协助市政府做好市级以上劳动模范的推荐、评选工作，负责市以上劳模的管理工作；负责全国“五一”劳动奖章、奖状获得者和省“五一”奖章、奖状获得者的评选表彰和管理工作。</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7.负责工会经费和工会资产的管理、审查、审计工作；研究制定兴办职工劳动福利事业的制度和规定，负责对职工劳动福利事业的指导、协调工作。</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8.承担市委、市政府及省总工会交办的其他事项。</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3" w:firstLineChars="200"/>
        <w:textAlignment w:val="auto"/>
        <w:rPr>
          <w:rFonts w:hint="eastAsia" w:ascii="方正楷体简体" w:hAnsi="方正楷体简体" w:eastAsia="方正楷体简体" w:cs="方正楷体简体"/>
          <w:b/>
          <w:bCs/>
          <w:kern w:val="0"/>
          <w:sz w:val="32"/>
          <w:szCs w:val="32"/>
          <w:lang w:eastAsia="zh-CN"/>
        </w:rPr>
      </w:pPr>
      <w:r>
        <w:rPr>
          <w:rFonts w:hint="eastAsia" w:ascii="方正楷体简体" w:hAnsi="方正楷体简体" w:eastAsia="方正楷体简体" w:cs="方正楷体简体"/>
          <w:b/>
          <w:bCs/>
          <w:kern w:val="0"/>
          <w:sz w:val="32"/>
          <w:szCs w:val="32"/>
          <w:lang w:eastAsia="zh-CN"/>
        </w:rPr>
        <w:t>（二）机构设置情况</w:t>
      </w:r>
    </w:p>
    <w:p>
      <w:pPr>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6"/>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单位名称</w:t>
            </w:r>
          </w:p>
        </w:tc>
        <w:tc>
          <w:tcPr>
            <w:tcW w:w="1134" w:type="dxa"/>
            <w:vMerge w:val="restart"/>
            <w:vAlign w:val="center"/>
          </w:tcPr>
          <w:p>
            <w:pPr>
              <w:spacing w:line="30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单位性质</w:t>
            </w:r>
          </w:p>
        </w:tc>
        <w:tc>
          <w:tcPr>
            <w:tcW w:w="1276" w:type="dxa"/>
            <w:vMerge w:val="restart"/>
            <w:vAlign w:val="center"/>
          </w:tcPr>
          <w:p>
            <w:pPr>
              <w:spacing w:line="30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单位规格</w:t>
            </w:r>
          </w:p>
        </w:tc>
        <w:tc>
          <w:tcPr>
            <w:tcW w:w="2902" w:type="dxa"/>
            <w:vMerge w:val="restart"/>
            <w:vAlign w:val="center"/>
          </w:tcPr>
          <w:p>
            <w:pPr>
              <w:spacing w:line="30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eastAsia" w:ascii="方正仿宋简体" w:hAnsi="方正仿宋简体" w:eastAsia="方正仿宋简体" w:cs="方正仿宋简体"/>
                <w:sz w:val="32"/>
                <w:szCs w:val="32"/>
              </w:rPr>
            </w:pPr>
          </w:p>
        </w:tc>
        <w:tc>
          <w:tcPr>
            <w:tcW w:w="1134" w:type="dxa"/>
            <w:vMerge w:val="continue"/>
            <w:vAlign w:val="center"/>
          </w:tcPr>
          <w:p>
            <w:pPr>
              <w:spacing w:line="300" w:lineRule="exact"/>
              <w:jc w:val="left"/>
              <w:outlineLvl w:val="0"/>
              <w:rPr>
                <w:rFonts w:hint="eastAsia" w:ascii="方正仿宋简体" w:hAnsi="方正仿宋简体" w:eastAsia="方正仿宋简体" w:cs="方正仿宋简体"/>
                <w:sz w:val="32"/>
                <w:szCs w:val="32"/>
              </w:rPr>
            </w:pPr>
          </w:p>
        </w:tc>
        <w:tc>
          <w:tcPr>
            <w:tcW w:w="1276" w:type="dxa"/>
            <w:vMerge w:val="continue"/>
            <w:vAlign w:val="center"/>
          </w:tcPr>
          <w:p>
            <w:pPr>
              <w:spacing w:line="300" w:lineRule="exact"/>
              <w:jc w:val="left"/>
              <w:outlineLvl w:val="0"/>
              <w:rPr>
                <w:rFonts w:hint="eastAsia" w:ascii="方正仿宋简体" w:hAnsi="方正仿宋简体" w:eastAsia="方正仿宋简体" w:cs="方正仿宋简体"/>
                <w:sz w:val="32"/>
                <w:szCs w:val="32"/>
              </w:rPr>
            </w:pPr>
          </w:p>
        </w:tc>
        <w:tc>
          <w:tcPr>
            <w:tcW w:w="2902" w:type="dxa"/>
            <w:vMerge w:val="continue"/>
            <w:vAlign w:val="center"/>
          </w:tcPr>
          <w:p>
            <w:pPr>
              <w:spacing w:line="300" w:lineRule="exact"/>
              <w:jc w:val="left"/>
              <w:outlineLvl w:val="0"/>
              <w:rPr>
                <w:rFonts w:hint="eastAsia"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唐山市总工会机关</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处</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唐山市总工会（参公7户）</w:t>
            </w:r>
          </w:p>
        </w:tc>
        <w:tc>
          <w:tcPr>
            <w:tcW w:w="1134" w:type="dxa"/>
            <w:vAlign w:val="center"/>
          </w:tcPr>
          <w:p>
            <w:pPr>
              <w:spacing w:line="300" w:lineRule="exact"/>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参公</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总工会资产管理部</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唐山工会职工中等专业学校</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唐山市工人文化宫</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唐山市工人体育馆</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唐山市总工会汤泉工人疗养院</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唐山市总工会职工技协办公室</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唐山市总工会职工服务中心</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 xml:space="preserve"> 二、绩效预算信息情况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sz w:val="32"/>
          <w:szCs w:val="32"/>
          <w:lang w:val="en-US" w:eastAsia="zh-CN"/>
        </w:rPr>
        <w:t>.</w:t>
      </w:r>
      <w:r>
        <w:rPr>
          <w:rFonts w:hint="eastAsia" w:ascii="方正仿宋简体" w:hAnsi="方正仿宋简体" w:eastAsia="方正仿宋简体" w:cs="方正仿宋简体"/>
          <w:sz w:val="32"/>
          <w:szCs w:val="32"/>
        </w:rPr>
        <w:t>服务大局，在推动经济社会发展中彰显主力军作用。</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2.</w:t>
      </w:r>
      <w:r>
        <w:rPr>
          <w:rFonts w:hint="eastAsia" w:ascii="方正仿宋简体" w:hAnsi="方正仿宋简体" w:eastAsia="方正仿宋简体" w:cs="方正仿宋简体"/>
          <w:sz w:val="32"/>
          <w:szCs w:val="32"/>
        </w:rPr>
        <w:t>履行维护基本职能，促进劳动关系和谐稳定。</w:t>
      </w:r>
    </w:p>
    <w:p>
      <w:pPr>
        <w:spacing w:line="360" w:lineRule="auto"/>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3.</w:t>
      </w:r>
      <w:r>
        <w:rPr>
          <w:rFonts w:hint="eastAsia" w:ascii="方正仿宋简体" w:hAnsi="方正仿宋简体" w:eastAsia="方正仿宋简体" w:cs="方正仿宋简体"/>
          <w:sz w:val="32"/>
          <w:szCs w:val="32"/>
        </w:rPr>
        <w:t>完善服务体系，为职工群众办好事办实事。</w:t>
      </w:r>
    </w:p>
    <w:p>
      <w:pPr>
        <w:spacing w:line="360" w:lineRule="auto"/>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4.</w:t>
      </w:r>
      <w:r>
        <w:rPr>
          <w:rFonts w:hint="eastAsia" w:ascii="方正仿宋简体" w:hAnsi="方正仿宋简体" w:eastAsia="方正仿宋简体" w:cs="方正仿宋简体"/>
          <w:sz w:val="32"/>
          <w:szCs w:val="32"/>
        </w:rPr>
        <w:t>夯实组织基础，增强工会组织吸引力和凝聚力。</w:t>
      </w:r>
    </w:p>
    <w:p>
      <w:pPr>
        <w:spacing w:line="360" w:lineRule="auto"/>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今后我市工会的主要工作：建设活力型工会、建设服务型工会、建设创新型工会、建设法治型工会。</w:t>
      </w:r>
    </w:p>
    <w:p>
      <w:pPr>
        <w:spacing w:line="600" w:lineRule="exact"/>
        <w:ind w:firstLine="640" w:firstLineChars="200"/>
        <w:rPr>
          <w:rFonts w:ascii="Times New Roman" w:hAnsi="Times New Roman" w:cs="Times New Roman"/>
          <w:color w:val="000000"/>
          <w:sz w:val="32"/>
          <w:szCs w:val="32"/>
        </w:rPr>
      </w:pPr>
      <w:r>
        <w:rPr>
          <w:rFonts w:hint="eastAsia" w:ascii="黑体" w:hAnsi="Times New Roman" w:eastAsia="黑体" w:cs="黑体"/>
          <w:color w:val="000000"/>
          <w:sz w:val="32"/>
          <w:szCs w:val="32"/>
          <w:lang w:eastAsia="zh-CN"/>
        </w:rPr>
        <w:t>三</w:t>
      </w:r>
      <w:r>
        <w:rPr>
          <w:rFonts w:hint="eastAsia" w:ascii="黑体" w:hAnsi="Times New Roman" w:eastAsia="黑体" w:cs="黑体"/>
          <w:color w:val="000000"/>
          <w:sz w:val="32"/>
          <w:szCs w:val="32"/>
        </w:rPr>
        <w:t>、决算汇编基本情况</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eastAsia="仿宋_GB2312" w:cs="Times New Roman"/>
          <w:color w:val="000000"/>
          <w:sz w:val="32"/>
          <w:szCs w:val="32"/>
        </w:rPr>
        <w:t>2016</w:t>
      </w:r>
      <w:r>
        <w:rPr>
          <w:rFonts w:hint="eastAsia" w:ascii="仿宋_GB2312" w:hAnsi="仿宋" w:eastAsia="仿宋_GB2312" w:cs="仿宋"/>
          <w:color w:val="000000"/>
          <w:sz w:val="32"/>
          <w:szCs w:val="32"/>
        </w:rPr>
        <w:t>年度，纳入本部门决算汇编范围的独立核算单位共</w:t>
      </w:r>
      <w:r>
        <w:rPr>
          <w:rFonts w:hint="eastAsia" w:ascii="仿宋_GB2312" w:eastAsia="仿宋_GB2312" w:cs="Times New Roman"/>
          <w:color w:val="000000"/>
          <w:sz w:val="32"/>
          <w:szCs w:val="32"/>
        </w:rPr>
        <w:t>1</w:t>
      </w:r>
      <w:r>
        <w:rPr>
          <w:rFonts w:hint="eastAsia" w:ascii="仿宋_GB2312" w:hAnsi="仿宋" w:eastAsia="仿宋_GB2312" w:cs="仿宋"/>
          <w:color w:val="000000"/>
          <w:sz w:val="32"/>
          <w:szCs w:val="32"/>
        </w:rPr>
        <w:t>个，为唐山市</w:t>
      </w:r>
      <w:r>
        <w:rPr>
          <w:rFonts w:hint="eastAsia" w:ascii="仿宋_GB2312" w:hAnsi="仿宋" w:eastAsia="仿宋_GB2312" w:cs="仿宋"/>
          <w:color w:val="000000"/>
          <w:sz w:val="32"/>
          <w:szCs w:val="32"/>
          <w:lang w:eastAsia="zh-CN"/>
        </w:rPr>
        <w:t>总工会</w:t>
      </w:r>
      <w:r>
        <w:rPr>
          <w:rFonts w:hint="eastAsia" w:ascii="仿宋_GB2312" w:hAnsi="仿宋" w:eastAsia="仿宋_GB2312" w:cs="仿宋"/>
          <w:color w:val="000000"/>
          <w:sz w:val="32"/>
          <w:szCs w:val="32"/>
        </w:rPr>
        <w:t>，与上年决算相比无变化。</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eastAsia="仿宋_GB2312" w:cs="Times New Roman"/>
          <w:color w:val="000000"/>
          <w:sz w:val="32"/>
          <w:szCs w:val="32"/>
        </w:rPr>
        <w:t>2016</w:t>
      </w:r>
      <w:r>
        <w:rPr>
          <w:rFonts w:hint="eastAsia" w:ascii="仿宋_GB2312" w:hAnsi="仿宋" w:eastAsia="仿宋_GB2312" w:cs="仿宋"/>
          <w:color w:val="000000"/>
          <w:sz w:val="32"/>
          <w:szCs w:val="32"/>
        </w:rPr>
        <w:t>年度，本部门决算汇编户数共1个，为唐山市</w:t>
      </w:r>
      <w:r>
        <w:rPr>
          <w:rFonts w:hint="eastAsia" w:ascii="仿宋_GB2312" w:hAnsi="仿宋" w:eastAsia="仿宋_GB2312" w:cs="仿宋"/>
          <w:color w:val="000000"/>
          <w:sz w:val="32"/>
          <w:szCs w:val="32"/>
          <w:lang w:eastAsia="zh-CN"/>
        </w:rPr>
        <w:t>总工会</w:t>
      </w:r>
      <w:r>
        <w:rPr>
          <w:rFonts w:hint="eastAsia" w:ascii="仿宋_GB2312" w:hAnsi="仿宋" w:eastAsia="仿宋_GB2312" w:cs="仿宋"/>
          <w:color w:val="000000"/>
          <w:sz w:val="32"/>
          <w:szCs w:val="32"/>
        </w:rPr>
        <w:t>，与上年决算相比无变化。</w:t>
      </w:r>
    </w:p>
    <w:p>
      <w:pPr>
        <w:keepNext w:val="0"/>
        <w:keepLines w:val="0"/>
        <w:pageBreakBefore w:val="0"/>
        <w:numPr>
          <w:ilvl w:val="0"/>
          <w:numId w:val="0"/>
        </w:numPr>
        <w:kinsoku/>
        <w:wordWrap/>
        <w:overflowPunct/>
        <w:topLinePunct w:val="0"/>
        <w:bidi w:val="0"/>
        <w:snapToGrid/>
        <w:ind w:right="0" w:rightChars="0" w:firstLine="640"/>
        <w:textAlignment w:val="auto"/>
        <w:rPr>
          <w:rFonts w:hint="eastAsia" w:ascii="黑体" w:hAnsi="Times New Roman" w:eastAsia="黑体" w:cs="黑体"/>
          <w:color w:val="000000"/>
          <w:sz w:val="32"/>
          <w:szCs w:val="32"/>
        </w:rPr>
      </w:pPr>
      <w:r>
        <w:rPr>
          <w:rFonts w:hint="eastAsia" w:ascii="方正黑体简体" w:hAnsi="方正黑体简体" w:eastAsia="方正黑体简体" w:cs="方正黑体简体"/>
          <w:sz w:val="32"/>
          <w:szCs w:val="32"/>
          <w:lang w:eastAsia="zh-CN"/>
        </w:rPr>
        <w:t>四、部门决算整体情况及</w:t>
      </w:r>
      <w:r>
        <w:rPr>
          <w:rFonts w:hint="eastAsia" w:ascii="黑体" w:hAnsi="Times New Roman" w:eastAsia="黑体" w:cs="黑体"/>
          <w:color w:val="000000"/>
          <w:sz w:val="32"/>
          <w:szCs w:val="32"/>
        </w:rPr>
        <w:t>预算执行情况分析</w:t>
      </w:r>
    </w:p>
    <w:p>
      <w:pPr>
        <w:keepNext w:val="0"/>
        <w:keepLines w:val="0"/>
        <w:pageBreakBefore w:val="0"/>
        <w:numPr>
          <w:ilvl w:val="0"/>
          <w:numId w:val="0"/>
        </w:numPr>
        <w:kinsoku/>
        <w:wordWrap/>
        <w:overflowPunct/>
        <w:topLinePunct w:val="0"/>
        <w:bidi w:val="0"/>
        <w:snapToGrid/>
        <w:ind w:right="0" w:rightChars="0" w:firstLine="64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1.部门2016年度上年结转和结余3783.09万元，本年收入3961.63万元，本年支出6244.72万元，年末结转和结余1500万元。</w:t>
      </w:r>
    </w:p>
    <w:p>
      <w:pPr>
        <w:keepNext w:val="0"/>
        <w:keepLines w:val="0"/>
        <w:pageBreakBefore w:val="0"/>
        <w:numPr>
          <w:ilvl w:val="0"/>
          <w:numId w:val="0"/>
        </w:numPr>
        <w:kinsoku/>
        <w:wordWrap/>
        <w:overflowPunct/>
        <w:topLinePunct w:val="0"/>
        <w:bidi w:val="0"/>
        <w:snapToGrid/>
        <w:ind w:right="0" w:rightChars="0" w:firstLine="64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2.部门2016年度一般公共预算财政拨款上年结转和结余3783.09万元，本年收入3961.63万元，本年支出6244.72万元，年末结转和结余1500万元。</w:t>
      </w:r>
    </w:p>
    <w:p>
      <w:pPr>
        <w:spacing w:line="60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3.部门2016年度政府性基金预算财政拨款上年结转和结余0万元，本年收入0万元，本年支出0万元，年末结转结余0万元。</w:t>
      </w:r>
    </w:p>
    <w:p>
      <w:pPr>
        <w:spacing w:line="600" w:lineRule="exact"/>
        <w:ind w:firstLine="640" w:firstLineChars="200"/>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综合收支与上年决算数对比分析</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（1）本年收入</w:t>
      </w:r>
      <w:r>
        <w:rPr>
          <w:rFonts w:hint="eastAsia" w:ascii="仿宋_GB2312" w:hAnsi="仿宋" w:eastAsia="仿宋_GB2312" w:cs="仿宋"/>
          <w:sz w:val="32"/>
          <w:szCs w:val="32"/>
          <w:lang w:val="en-US" w:eastAsia="zh-CN"/>
        </w:rPr>
        <w:t>3961.63</w:t>
      </w:r>
      <w:r>
        <w:rPr>
          <w:rFonts w:hint="eastAsia" w:ascii="仿宋_GB2312" w:hAnsi="仿宋" w:eastAsia="仿宋_GB2312" w:cs="仿宋"/>
          <w:sz w:val="32"/>
          <w:szCs w:val="32"/>
        </w:rPr>
        <w:t>万元，比上年度减少</w:t>
      </w:r>
      <w:r>
        <w:rPr>
          <w:rFonts w:hint="eastAsia" w:ascii="仿宋_GB2312" w:hAnsi="仿宋" w:eastAsia="仿宋_GB2312" w:cs="仿宋"/>
          <w:sz w:val="32"/>
          <w:szCs w:val="32"/>
          <w:lang w:val="en-US" w:eastAsia="zh-CN"/>
        </w:rPr>
        <w:t>3210.07</w:t>
      </w:r>
      <w:r>
        <w:rPr>
          <w:rFonts w:hint="eastAsia" w:ascii="仿宋_GB2312" w:hAnsi="仿宋" w:eastAsia="仿宋_GB2312" w:cs="仿宋"/>
          <w:sz w:val="32"/>
          <w:szCs w:val="32"/>
        </w:rPr>
        <w:t>万元，减少原因主要为</w:t>
      </w:r>
      <w:r>
        <w:rPr>
          <w:rFonts w:hint="eastAsia" w:ascii="仿宋_GB2312" w:hAnsi="仿宋" w:eastAsia="仿宋_GB2312" w:cs="仿宋"/>
          <w:sz w:val="32"/>
          <w:szCs w:val="32"/>
          <w:lang w:eastAsia="zh-CN"/>
        </w:rPr>
        <w:t>文化宫代建工程专项</w:t>
      </w:r>
      <w:r>
        <w:rPr>
          <w:rFonts w:hint="eastAsia" w:ascii="仿宋_GB2312" w:hAnsi="仿宋" w:eastAsia="仿宋_GB2312" w:cs="仿宋"/>
          <w:sz w:val="32"/>
          <w:szCs w:val="32"/>
        </w:rPr>
        <w:t>经费减少</w:t>
      </w:r>
      <w:r>
        <w:rPr>
          <w:rFonts w:hint="eastAsia" w:ascii="仿宋_GB2312" w:hAnsi="仿宋" w:eastAsia="仿宋_GB2312" w:cs="仿宋"/>
          <w:sz w:val="32"/>
          <w:szCs w:val="32"/>
          <w:lang w:val="en-US" w:eastAsia="zh-CN"/>
        </w:rPr>
        <w:t>,2015年项目支出结余3868.30万元</w:t>
      </w:r>
      <w:r>
        <w:rPr>
          <w:rFonts w:hint="eastAsia" w:ascii="仿宋_GB2312" w:hAnsi="仿宋" w:eastAsia="仿宋_GB2312" w:cs="仿宋"/>
          <w:sz w:val="32"/>
          <w:szCs w:val="32"/>
        </w:rPr>
        <w:t>。</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（2）本年支出</w:t>
      </w:r>
      <w:r>
        <w:rPr>
          <w:rFonts w:hint="eastAsia" w:ascii="仿宋_GB2312" w:hAnsi="仿宋" w:eastAsia="仿宋_GB2312" w:cs="仿宋"/>
          <w:sz w:val="32"/>
          <w:szCs w:val="32"/>
          <w:lang w:val="en-US" w:eastAsia="zh-CN"/>
        </w:rPr>
        <w:t>6244.72</w:t>
      </w:r>
      <w:r>
        <w:rPr>
          <w:rFonts w:hint="eastAsia" w:ascii="仿宋_GB2312" w:hAnsi="仿宋" w:eastAsia="仿宋_GB2312" w:cs="仿宋"/>
          <w:sz w:val="32"/>
          <w:szCs w:val="32"/>
        </w:rPr>
        <w:t>万元，比上年度</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2935.93</w:t>
      </w:r>
      <w:r>
        <w:rPr>
          <w:rFonts w:hint="eastAsia" w:ascii="仿宋_GB2312" w:hAnsi="仿宋" w:eastAsia="仿宋_GB2312" w:cs="仿宋"/>
          <w:sz w:val="32"/>
          <w:szCs w:val="32"/>
        </w:rPr>
        <w:t>万元，主要</w:t>
      </w:r>
      <w:r>
        <w:rPr>
          <w:rFonts w:hint="eastAsia" w:ascii="仿宋_GB2312" w:hAnsi="仿宋" w:eastAsia="仿宋_GB2312" w:cs="仿宋"/>
          <w:sz w:val="32"/>
          <w:szCs w:val="32"/>
          <w:lang w:eastAsia="zh-CN"/>
        </w:rPr>
        <w:t>增加了文化宫代建工程专项</w:t>
      </w:r>
      <w:r>
        <w:rPr>
          <w:rFonts w:hint="eastAsia" w:ascii="仿宋_GB2312" w:hAnsi="仿宋" w:eastAsia="仿宋_GB2312" w:cs="仿宋"/>
          <w:sz w:val="32"/>
          <w:szCs w:val="32"/>
        </w:rPr>
        <w:t>经费支出。</w:t>
      </w:r>
    </w:p>
    <w:p>
      <w:pPr>
        <w:keepNext w:val="0"/>
        <w:keepLines w:val="0"/>
        <w:pageBreakBefore w:val="0"/>
        <w:numPr>
          <w:ilvl w:val="0"/>
          <w:numId w:val="0"/>
        </w:numPr>
        <w:kinsoku/>
        <w:wordWrap/>
        <w:overflowPunct/>
        <w:topLinePunct w:val="0"/>
        <w:bidi w:val="0"/>
        <w:snapToGrid/>
        <w:ind w:right="0" w:rightChars="0" w:firstLine="643"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五、机关运行经费支出情况</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2016年我单位机关运行经费决算为</w:t>
      </w:r>
      <w:r>
        <w:rPr>
          <w:rFonts w:hint="eastAsia" w:ascii="方正仿宋简体" w:hAnsi="方正仿宋简体" w:eastAsia="方正仿宋简体" w:cs="方正仿宋简体"/>
          <w:color w:val="auto"/>
          <w:sz w:val="32"/>
          <w:szCs w:val="32"/>
          <w:lang w:val="en-US" w:eastAsia="zh-CN"/>
        </w:rPr>
        <w:t>762.55</w:t>
      </w:r>
      <w:r>
        <w:rPr>
          <w:rFonts w:hint="eastAsia" w:ascii="方正仿宋简体" w:hAnsi="方正仿宋简体" w:eastAsia="方正仿宋简体" w:cs="方正仿宋简体"/>
          <w:sz w:val="32"/>
          <w:szCs w:val="32"/>
          <w:lang w:val="en-US" w:eastAsia="zh-CN"/>
        </w:rPr>
        <w:t>万元。</w:t>
      </w:r>
      <w:r>
        <w:rPr>
          <w:rFonts w:hint="eastAsia" w:ascii="方正仿宋简体" w:hAnsi="方正仿宋简体" w:eastAsia="方正仿宋简体" w:cs="方正仿宋简体"/>
          <w:sz w:val="32"/>
          <w:szCs w:val="32"/>
        </w:rPr>
        <w:t>机关运行经费是指</w:t>
      </w:r>
      <w:r>
        <w:rPr>
          <w:rFonts w:hint="eastAsia" w:ascii="方正仿宋简体" w:hAnsi="方正仿宋简体" w:eastAsia="方正仿宋简体" w:cs="方正仿宋简体"/>
          <w:sz w:val="32"/>
          <w:szCs w:val="32"/>
          <w:lang w:eastAsia="zh-CN"/>
        </w:rPr>
        <w:t>机关及</w:t>
      </w: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事业单位</w:t>
      </w:r>
      <w:r>
        <w:rPr>
          <w:rFonts w:hint="eastAsia" w:ascii="方正仿宋简体" w:hAnsi="方正仿宋简体" w:eastAsia="方正仿宋简体" w:cs="方正仿宋简体"/>
          <w:sz w:val="32"/>
          <w:szCs w:val="32"/>
        </w:rPr>
        <w:t>的公用经费，主要包括办公费、印刷费、会议费、</w:t>
      </w:r>
      <w:r>
        <w:rPr>
          <w:rFonts w:hint="eastAsia" w:ascii="方正仿宋简体" w:hAnsi="方正仿宋简体" w:eastAsia="方正仿宋简体" w:cs="方正仿宋简体"/>
          <w:sz w:val="32"/>
          <w:szCs w:val="32"/>
          <w:lang w:eastAsia="zh-CN"/>
        </w:rPr>
        <w:t>培训费、</w:t>
      </w:r>
      <w:r>
        <w:rPr>
          <w:rFonts w:hint="eastAsia" w:ascii="方正仿宋简体" w:hAnsi="方正仿宋简体" w:eastAsia="方正仿宋简体" w:cs="方正仿宋简体"/>
          <w:sz w:val="32"/>
          <w:szCs w:val="32"/>
        </w:rPr>
        <w:t>其他费用等。</w:t>
      </w:r>
    </w:p>
    <w:p>
      <w:pPr>
        <w:keepNext w:val="0"/>
        <w:keepLines w:val="0"/>
        <w:pageBreakBefore w:val="0"/>
        <w:kinsoku/>
        <w:wordWrap/>
        <w:overflowPunct/>
        <w:topLinePunct w:val="0"/>
        <w:bidi w:val="0"/>
        <w:snapToGrid/>
        <w:spacing w:line="560" w:lineRule="exact"/>
        <w:ind w:left="0" w:leftChars="0" w:right="0" w:rightChars="0" w:firstLine="643"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六、财政拨款“三公”经费决算情况</w:t>
      </w:r>
    </w:p>
    <w:p>
      <w:pPr>
        <w:spacing w:line="360" w:lineRule="auto"/>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三公经费无财政资金安排，与上年度比较无变化。财政拨款因公出国</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境</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团组数0、</w:t>
      </w:r>
      <w:r>
        <w:rPr>
          <w:rFonts w:ascii="方正仿宋简体" w:hAnsi="方正仿宋简体" w:eastAsia="方正仿宋简体" w:cs="方正仿宋简体"/>
          <w:sz w:val="32"/>
          <w:szCs w:val="32"/>
        </w:rPr>
        <w:t>人数</w:t>
      </w:r>
      <w:r>
        <w:rPr>
          <w:rFonts w:hint="eastAsia" w:ascii="方正仿宋简体" w:hAnsi="方正仿宋简体" w:eastAsia="方正仿宋简体" w:cs="方正仿宋简体"/>
          <w:sz w:val="32"/>
          <w:szCs w:val="32"/>
        </w:rPr>
        <w:t>0；财政</w:t>
      </w:r>
      <w:r>
        <w:rPr>
          <w:rFonts w:ascii="方正仿宋简体" w:hAnsi="方正仿宋简体" w:eastAsia="方正仿宋简体" w:cs="方正仿宋简体"/>
          <w:sz w:val="32"/>
          <w:szCs w:val="32"/>
        </w:rPr>
        <w:t>拨款公务用车购置数</w:t>
      </w:r>
      <w:r>
        <w:rPr>
          <w:rFonts w:hint="eastAsia" w:ascii="方正仿宋简体" w:hAnsi="方正仿宋简体" w:eastAsia="方正仿宋简体" w:cs="方正仿宋简体"/>
          <w:sz w:val="32"/>
          <w:szCs w:val="32"/>
        </w:rPr>
        <w:t>0、</w:t>
      </w:r>
      <w:r>
        <w:rPr>
          <w:rFonts w:ascii="方正仿宋简体" w:hAnsi="方正仿宋简体" w:eastAsia="方正仿宋简体" w:cs="方正仿宋简体"/>
          <w:sz w:val="32"/>
          <w:szCs w:val="32"/>
        </w:rPr>
        <w:t>保有量</w:t>
      </w:r>
      <w:r>
        <w:rPr>
          <w:rFonts w:hint="eastAsia" w:ascii="方正仿宋简体" w:hAnsi="方正仿宋简体" w:eastAsia="方正仿宋简体" w:cs="方正仿宋简体"/>
          <w:sz w:val="32"/>
          <w:szCs w:val="32"/>
        </w:rPr>
        <w:t>0</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财政</w:t>
      </w:r>
      <w:r>
        <w:rPr>
          <w:rFonts w:ascii="方正仿宋简体" w:hAnsi="方正仿宋简体" w:eastAsia="方正仿宋简体" w:cs="方正仿宋简体"/>
          <w:sz w:val="32"/>
          <w:szCs w:val="32"/>
        </w:rPr>
        <w:t>拨款国内公务接待的批次</w:t>
      </w:r>
      <w:r>
        <w:rPr>
          <w:rFonts w:hint="eastAsia" w:ascii="方正仿宋简体" w:hAnsi="方正仿宋简体" w:eastAsia="方正仿宋简体" w:cs="方正仿宋简体"/>
          <w:sz w:val="32"/>
          <w:szCs w:val="32"/>
        </w:rPr>
        <w:t>0</w:t>
      </w:r>
      <w:r>
        <w:rPr>
          <w:rFonts w:ascii="方正仿宋简体" w:hAnsi="方正仿宋简体" w:eastAsia="方正仿宋简体" w:cs="方正仿宋简体"/>
          <w:sz w:val="32"/>
          <w:szCs w:val="32"/>
        </w:rPr>
        <w:t>、人数</w:t>
      </w:r>
      <w:r>
        <w:rPr>
          <w:rFonts w:hint="eastAsia" w:ascii="方正仿宋简体" w:hAnsi="方正仿宋简体" w:eastAsia="方正仿宋简体" w:cs="方正仿宋简体"/>
          <w:sz w:val="32"/>
          <w:szCs w:val="32"/>
        </w:rPr>
        <w:t>0</w:t>
      </w:r>
      <w:r>
        <w:rPr>
          <w:rFonts w:ascii="方正仿宋简体" w:hAnsi="方正仿宋简体" w:eastAsia="方正仿宋简体" w:cs="方正仿宋简体"/>
          <w:sz w:val="32"/>
          <w:szCs w:val="32"/>
        </w:rPr>
        <w:t>。</w:t>
      </w:r>
      <w:bookmarkStart w:id="0" w:name="_GoBack"/>
      <w:bookmarkEnd w:id="0"/>
    </w:p>
    <w:p>
      <w:pPr>
        <w:spacing w:line="600" w:lineRule="exact"/>
        <w:ind w:firstLine="643" w:firstLineChars="200"/>
        <w:rPr>
          <w:rFonts w:hint="eastAsia" w:ascii="黑体" w:hAnsi="Times New Roman" w:eastAsia="黑体" w:cs="黑体"/>
          <w:color w:val="000000"/>
          <w:sz w:val="32"/>
          <w:szCs w:val="32"/>
        </w:rPr>
      </w:pPr>
      <w:r>
        <w:rPr>
          <w:rFonts w:hint="eastAsia" w:ascii="方正黑体简体" w:hAnsi="方正黑体简体" w:eastAsia="方正黑体简体" w:cs="方正黑体简体"/>
          <w:b/>
          <w:bCs/>
          <w:sz w:val="32"/>
          <w:szCs w:val="32"/>
          <w:lang w:val="en-US" w:eastAsia="zh-CN"/>
        </w:rPr>
        <w:t>七、</w:t>
      </w:r>
      <w:r>
        <w:rPr>
          <w:rFonts w:hint="eastAsia" w:ascii="黑体" w:hAnsi="Times New Roman" w:eastAsia="黑体" w:cs="黑体"/>
          <w:color w:val="000000"/>
          <w:sz w:val="32"/>
          <w:szCs w:val="32"/>
        </w:rPr>
        <w:t>政府采购预算执行情况</w:t>
      </w:r>
    </w:p>
    <w:p>
      <w:pPr>
        <w:spacing w:line="600" w:lineRule="exact"/>
        <w:ind w:firstLine="640" w:firstLineChars="200"/>
        <w:rPr>
          <w:rFonts w:hint="eastAsia" w:ascii="仿宋_GB2312" w:hAnsi="仿宋" w:eastAsia="仿宋_GB2312" w:cs="仿宋"/>
          <w:sz w:val="32"/>
          <w:szCs w:val="32"/>
        </w:rPr>
      </w:pPr>
      <w:r>
        <w:rPr>
          <w:rFonts w:hint="eastAsia" w:ascii="仿宋_GB2312" w:hAnsi="宋体" w:eastAsia="仿宋_GB2312"/>
          <w:kern w:val="0"/>
          <w:sz w:val="32"/>
          <w:szCs w:val="32"/>
        </w:rPr>
        <w:t>2016年度部门政府采购</w:t>
      </w:r>
      <w:r>
        <w:rPr>
          <w:rFonts w:hint="eastAsia" w:ascii="仿宋_GB2312" w:hAnsi="宋体" w:eastAsia="仿宋_GB2312"/>
          <w:kern w:val="0"/>
          <w:sz w:val="32"/>
          <w:szCs w:val="32"/>
          <w:lang w:eastAsia="zh-CN"/>
        </w:rPr>
        <w:t>计划金额</w:t>
      </w: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rPr>
        <w:t>万元，决算数</w:t>
      </w:r>
      <w:r>
        <w:rPr>
          <w:rFonts w:hint="eastAsia" w:ascii="仿宋_GB2312" w:hAnsi="宋体" w:eastAsia="仿宋_GB2312"/>
          <w:kern w:val="0"/>
          <w:sz w:val="32"/>
          <w:szCs w:val="32"/>
          <w:lang w:val="en-US" w:eastAsia="zh-CN"/>
        </w:rPr>
        <w:t>5.4</w:t>
      </w:r>
      <w:r>
        <w:rPr>
          <w:rFonts w:hint="eastAsia" w:ascii="仿宋_GB2312" w:hAnsi="宋体" w:eastAsia="仿宋_GB2312"/>
          <w:kern w:val="0"/>
          <w:sz w:val="32"/>
          <w:szCs w:val="32"/>
        </w:rPr>
        <w:t>万元，比年初预算节减</w:t>
      </w:r>
      <w:r>
        <w:rPr>
          <w:rFonts w:hint="eastAsia" w:ascii="仿宋_GB2312" w:hAnsi="宋体" w:eastAsia="仿宋_GB2312"/>
          <w:kern w:val="0"/>
          <w:sz w:val="32"/>
          <w:szCs w:val="32"/>
          <w:lang w:val="en-US" w:eastAsia="zh-CN"/>
        </w:rPr>
        <w:t>0.6万</w:t>
      </w:r>
      <w:r>
        <w:rPr>
          <w:rFonts w:hint="eastAsia" w:ascii="仿宋_GB2312" w:hAnsi="宋体" w:eastAsia="仿宋_GB2312"/>
          <w:kern w:val="0"/>
          <w:sz w:val="32"/>
          <w:szCs w:val="32"/>
        </w:rPr>
        <w:t>元。资金来源全部为财政性资金。其中货物类政府采购预算数</w:t>
      </w: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rPr>
        <w:t>万元，决算数</w:t>
      </w:r>
      <w:r>
        <w:rPr>
          <w:rFonts w:hint="eastAsia" w:ascii="仿宋_GB2312" w:hAnsi="宋体" w:eastAsia="仿宋_GB2312"/>
          <w:kern w:val="0"/>
          <w:sz w:val="32"/>
          <w:szCs w:val="32"/>
          <w:lang w:val="en-US" w:eastAsia="zh-CN"/>
        </w:rPr>
        <w:t>5.4</w:t>
      </w:r>
      <w:r>
        <w:rPr>
          <w:rFonts w:hint="eastAsia" w:ascii="仿宋_GB2312" w:hAnsi="宋体" w:eastAsia="仿宋_GB2312"/>
          <w:kern w:val="0"/>
          <w:sz w:val="32"/>
          <w:szCs w:val="32"/>
        </w:rPr>
        <w:t>万元，比年初预算减少</w:t>
      </w:r>
      <w:r>
        <w:rPr>
          <w:rFonts w:hint="eastAsia" w:ascii="仿宋_GB2312" w:hAnsi="宋体" w:eastAsia="仿宋_GB2312"/>
          <w:kern w:val="0"/>
          <w:sz w:val="32"/>
          <w:szCs w:val="32"/>
          <w:lang w:val="en-US" w:eastAsia="zh-CN"/>
        </w:rPr>
        <w:t>0.6</w:t>
      </w:r>
      <w:r>
        <w:rPr>
          <w:rFonts w:hint="eastAsia" w:ascii="仿宋_GB2312" w:hAnsi="宋体" w:eastAsia="仿宋_GB2312"/>
          <w:kern w:val="0"/>
          <w:sz w:val="32"/>
          <w:szCs w:val="32"/>
        </w:rPr>
        <w:t>万元。</w:t>
      </w:r>
    </w:p>
    <w:p>
      <w:pPr>
        <w:tabs>
          <w:tab w:val="left" w:pos="3482"/>
        </w:tabs>
        <w:spacing w:line="360" w:lineRule="auto"/>
        <w:ind w:firstLine="640" w:firstLineChars="200"/>
        <w:jc w:val="left"/>
        <w:rPr>
          <w:rFonts w:hint="eastAsia" w:ascii="方正黑体简体" w:hAnsi="方正黑体简体" w:eastAsia="方正黑体简体" w:cs="方正黑体简体"/>
          <w:b/>
          <w:bCs/>
          <w:sz w:val="32"/>
          <w:szCs w:val="32"/>
          <w:lang w:val="en-US" w:eastAsia="zh-CN"/>
        </w:rPr>
      </w:pPr>
      <w:r>
        <w:rPr>
          <w:rFonts w:hint="eastAsia" w:ascii="黑体" w:hAnsi="Times New Roman" w:eastAsia="黑体" w:cs="黑体"/>
          <w:color w:val="000000"/>
          <w:sz w:val="32"/>
          <w:szCs w:val="32"/>
        </w:rPr>
        <w:t>八</w:t>
      </w:r>
      <w:r>
        <w:rPr>
          <w:rFonts w:hint="eastAsia" w:ascii="方正黑体简体" w:hAnsi="方正黑体简体" w:eastAsia="方正黑体简体" w:cs="方正黑体简体"/>
          <w:b/>
          <w:bCs/>
          <w:sz w:val="32"/>
          <w:szCs w:val="32"/>
          <w:lang w:val="en-US" w:eastAsia="zh-CN"/>
        </w:rPr>
        <w:t>、国有资产信息情况</w:t>
      </w:r>
    </w:p>
    <w:p>
      <w:pPr>
        <w:tabs>
          <w:tab w:val="left" w:pos="3482"/>
        </w:tabs>
        <w:spacing w:line="360" w:lineRule="auto"/>
        <w:ind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我单位无国有资产信息情况。</w:t>
      </w:r>
    </w:p>
    <w:p>
      <w:pPr>
        <w:tabs>
          <w:tab w:val="left" w:pos="3482"/>
        </w:tabs>
        <w:spacing w:line="360" w:lineRule="auto"/>
        <w:ind w:firstLine="640" w:firstLineChars="200"/>
        <w:jc w:val="left"/>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sz w:val="32"/>
          <w:szCs w:val="32"/>
          <w:lang w:eastAsia="zh-CN"/>
        </w:rPr>
        <w:t>九</w:t>
      </w:r>
      <w:r>
        <w:rPr>
          <w:rFonts w:hint="eastAsia" w:ascii="黑体" w:hAnsi="Times New Roman" w:eastAsia="黑体" w:cs="黑体"/>
          <w:color w:val="000000"/>
          <w:sz w:val="32"/>
          <w:szCs w:val="32"/>
        </w:rPr>
        <w:t>、</w:t>
      </w:r>
      <w:r>
        <w:rPr>
          <w:rFonts w:hint="eastAsia" w:ascii="方正黑体简体" w:hAnsi="方正黑体简体" w:eastAsia="方正黑体简体" w:cs="方正黑体简体"/>
          <w:b/>
          <w:bCs/>
          <w:sz w:val="32"/>
          <w:szCs w:val="32"/>
          <w:lang w:val="en-US" w:eastAsia="zh-CN"/>
        </w:rPr>
        <w:t>专业名词解释</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 xml:space="preserve">基本支出：指为保障机构正常运转、完成日常工作任务而发生的人员支出和公用支出（正常公用和专项公用）。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 xml:space="preserve">项目支出：指在基本支出之外为完成特定行政任务和事业发展目标所发生的支出。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十、</w:t>
      </w:r>
      <w:r>
        <w:rPr>
          <w:rFonts w:hint="eastAsia" w:ascii="方正黑体简体" w:hAnsi="方正黑体简体" w:eastAsia="方正黑体简体" w:cs="方正黑体简体"/>
          <w:sz w:val="32"/>
          <w:szCs w:val="32"/>
        </w:rPr>
        <w:t>其他需说明的事项</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无国有资本经营</w:t>
      </w:r>
      <w:r>
        <w:rPr>
          <w:rFonts w:hint="eastAsia" w:ascii="方正仿宋简体" w:hAnsi="方正仿宋简体" w:eastAsia="方正仿宋简体" w:cs="方正仿宋简体"/>
          <w:sz w:val="32"/>
          <w:szCs w:val="32"/>
          <w:lang w:eastAsia="zh-CN"/>
        </w:rPr>
        <w:t>和政府性基金</w:t>
      </w:r>
      <w:r>
        <w:rPr>
          <w:rFonts w:hint="eastAsia" w:ascii="方正仿宋简体" w:hAnsi="方正仿宋简体" w:eastAsia="方正仿宋简体" w:cs="方正仿宋简体"/>
          <w:sz w:val="32"/>
          <w:szCs w:val="32"/>
        </w:rPr>
        <w:t>预算财政拨款收支，因此相关表格数据为零。</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decorative"/>
    <w:pitch w:val="default"/>
    <w:sig w:usb0="00000001" w:usb1="080E0000" w:usb2="00000000" w:usb3="00000000" w:csb0="00040000" w:csb1="00000000"/>
  </w:font>
  <w:font w:name="方正小标宋_GBK">
    <w:altName w:val="宋体"/>
    <w:panose1 w:val="03000509000000000000"/>
    <w:charset w:val="86"/>
    <w:family w:val="auto"/>
    <w:pitch w:val="default"/>
    <w:sig w:usb0="00000000" w:usb1="00000000" w:usb2="0000001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新宋体">
    <w:panose1 w:val="02010609030101010101"/>
    <w:charset w:val="86"/>
    <w:family w:val="auto"/>
    <w:pitch w:val="default"/>
    <w:sig w:usb0="00000003" w:usb1="080E0000" w:usb2="00000000" w:usb3="00000000" w:csb0="00040001" w:csb1="00000000"/>
  </w:font>
  <w:font w:name="Batang">
    <w:altName w:val="GulimChe"/>
    <w:panose1 w:val="02030600000101010101"/>
    <w:charset w:val="81"/>
    <w:family w:val="auto"/>
    <w:pitch w:val="default"/>
    <w:sig w:usb0="00000000" w:usb1="00000000" w:usb2="00000030" w:usb3="00000000" w:csb0="4008009F" w:csb1="DFD70000"/>
  </w:font>
  <w:font w:name="MingLiU-ExtB">
    <w:altName w:val="PMingLiU"/>
    <w:panose1 w:val="02020500000000000000"/>
    <w:charset w:val="88"/>
    <w:family w:val="auto"/>
    <w:pitch w:val="default"/>
    <w:sig w:usb0="00000000" w:usb1="00000000" w:usb2="00000000" w:usb3="00000000" w:csb0="00100001" w:csb1="00000000"/>
  </w:font>
  <w:font w:name="MingLiU_HKSCS">
    <w:altName w:val="PMingLiU"/>
    <w:panose1 w:val="02020500000000000000"/>
    <w:charset w:val="88"/>
    <w:family w:val="auto"/>
    <w:pitch w:val="default"/>
    <w:sig w:usb0="00000000" w:usb1="00000000" w:usb2="00000016" w:usb3="00000000" w:csb0="00100001" w:csb1="00000000"/>
  </w:font>
  <w:font w:name="Aparajita">
    <w:altName w:val="Microsoft Sans Serif"/>
    <w:panose1 w:val="020B0604020202020204"/>
    <w:charset w:val="00"/>
    <w:family w:val="auto"/>
    <w:pitch w:val="default"/>
    <w:sig w:usb0="00000000" w:usb1="00000000" w:usb2="00000000" w:usb3="00000000" w:csb0="00000001" w:csb1="00000000"/>
  </w:font>
  <w:font w:name="AngsanaUPC">
    <w:altName w:val="Times New Roman"/>
    <w:panose1 w:val="020206030504050203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Palatino Linotype"/>
    <w:panose1 w:val="02040503050406030204"/>
    <w:charset w:val="00"/>
    <w:family w:val="auto"/>
    <w:pitch w:val="default"/>
    <w:sig w:usb0="00000000" w:usb1="00000000" w:usb2="00000000" w:usb3="00000000" w:csb0="2000019F" w:csb1="00000000"/>
  </w:font>
  <w:font w:name="Consolas">
    <w:altName w:val="Lucida Console"/>
    <w:panose1 w:val="020B0609020204030204"/>
    <w:charset w:val="00"/>
    <w:family w:val="auto"/>
    <w:pitch w:val="default"/>
    <w:sig w:usb0="00000000" w:usb1="00000000" w:usb2="00000009" w:usb3="00000000" w:csb0="6000019F" w:csb1="DFD70000"/>
  </w:font>
  <w:font w:name="Constantia">
    <w:altName w:val="PMingLiU"/>
    <w:panose1 w:val="02030602050306030303"/>
    <w:charset w:val="00"/>
    <w:family w:val="auto"/>
    <w:pitch w:val="default"/>
    <w:sig w:usb0="00000000" w:usb1="00000000" w:usb2="00000000" w:usb3="00000000" w:csb0="2000019F" w:csb1="00000000"/>
  </w:font>
  <w:font w:name="Corbel">
    <w:altName w:val="Trebuchet MS"/>
    <w:panose1 w:val="020B0503020204020204"/>
    <w:charset w:val="00"/>
    <w:family w:val="auto"/>
    <w:pitch w:val="default"/>
    <w:sig w:usb0="00000000" w:usb1="00000000" w:usb2="00000000" w:usb3="00000000" w:csb0="2000019F" w:csb1="00000000"/>
  </w:font>
  <w:font w:name="Vani">
    <w:altName w:val="Century Gothic"/>
    <w:panose1 w:val="020B0502040204020203"/>
    <w:charset w:val="00"/>
    <w:family w:val="auto"/>
    <w:pitch w:val="default"/>
    <w:sig w:usb0="00000000" w:usb1="00000000" w:usb2="00000000" w:usb3="00000000" w:csb0="00000001" w:csb1="00000000"/>
  </w:font>
  <w:font w:name="Verdana">
    <w:panose1 w:val="020B0604030504040204"/>
    <w:charset w:val="00"/>
    <w:family w:val="auto"/>
    <w:pitch w:val="default"/>
    <w:sig w:usb0="00000287" w:usb1="00000000" w:usb2="00000000" w:usb3="00000000" w:csb0="2000019F" w:csb1="00000000"/>
  </w:font>
  <w:font w:name="Vijaya">
    <w:altName w:val="Microsoft Sans Serif"/>
    <w:panose1 w:val="020B0604020202020204"/>
    <w:charset w:val="00"/>
    <w:family w:val="auto"/>
    <w:pitch w:val="default"/>
    <w:sig w:usb0="00000000" w:usb1="00000000" w:usb2="00000000" w:usb3="00000000" w:csb0="00000001" w:csb1="00000000"/>
  </w:font>
  <w:font w:name="Vrinda">
    <w:altName w:val="Century Gothic"/>
    <w:panose1 w:val="020B0502040204020203"/>
    <w:charset w:val="00"/>
    <w:family w:val="auto"/>
    <w:pitch w:val="default"/>
    <w:sig w:usb0="00000000"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387" w:usb1="40000013" w:usb2="00000000" w:usb3="00000000" w:csb0="2000019F" w:csb1="0000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0" w:usb2="00000000" w:usb3="00000000" w:csb0="2000009F" w:csb1="00000000"/>
  </w:font>
  <w:font w:name="仿宋">
    <w:altName w:val="宋体"/>
    <w:panose1 w:val="00000000000000000000"/>
    <w:charset w:val="00"/>
    <w:family w:val="auto"/>
    <w:pitch w:val="default"/>
    <w:sig w:usb0="00000000" w:usb1="00000000" w:usb2="00000000" w:usb3="00000000" w:csb0="00000000" w:csb1="00000000"/>
  </w:font>
  <w:font w:name="方正仿宋_GBK">
    <w:altName w:val="宋体"/>
    <w:panose1 w:val="03000509000000000000"/>
    <w:charset w:val="86"/>
    <w:family w:val="auto"/>
    <w:pitch w:val="default"/>
    <w:sig w:usb0="00000000" w:usb1="00000000" w:usb2="00000010" w:usb3="00000000" w:csb0="00040000" w:csb1="00000000"/>
  </w:font>
  <w:font w:name="方正书宋_GBK">
    <w:altName w:val="方正楷体简体"/>
    <w:panose1 w:val="03000509000000000000"/>
    <w:charset w:val="86"/>
    <w:family w:val="auto"/>
    <w:pitch w:val="default"/>
    <w:sig w:usb0="00000000" w:usb1="00000000" w:usb2="00000010" w:usb3="00000000" w:csb0="00040000" w:csb1="00000000"/>
  </w:font>
  <w:font w:name="方正楷体_GBK">
    <w:altName w:val="方正楷体简体"/>
    <w:panose1 w:val="03000509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Rounded MT Bold">
    <w:altName w:val="Arial"/>
    <w:panose1 w:val="020F0704030504030204"/>
    <w:charset w:val="00"/>
    <w:family w:val="auto"/>
    <w:pitch w:val="default"/>
    <w:sig w:usb0="00000000" w:usb1="00000000" w:usb2="00000000" w:usb3="00000000" w:csb0="20000001" w:csb1="00000000"/>
  </w:font>
  <w:font w:name="Tahoma">
    <w:panose1 w:val="020B0604030504040204"/>
    <w:charset w:val="00"/>
    <w:family w:val="swiss"/>
    <w:pitch w:val="default"/>
    <w:sig w:usb0="61007A87" w:usb1="80000000" w:usb2="00000008" w:usb3="00000000" w:csb0="200101FF" w:csb1="20280000"/>
  </w:font>
  <w:font w:name="方正仿宋_GBK">
    <w:altName w:val="宋体"/>
    <w:panose1 w:val="00000000000000000000"/>
    <w:charset w:val="00"/>
    <w:family w:val="auto"/>
    <w:pitch w:val="default"/>
    <w:sig w:usb0="00000000" w:usb1="00000000" w:usb2="00000000" w:usb3="00000000" w:csb0="00000000" w:csb1="00000000"/>
  </w:font>
  <w:font w:name="SimSun-ExtB">
    <w:altName w:val="宋体"/>
    <w:panose1 w:val="02010609060101010101"/>
    <w:charset w:val="86"/>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3DF6"/>
    <w:rsid w:val="007B2237"/>
    <w:rsid w:val="017B3DF6"/>
    <w:rsid w:val="04E310AA"/>
    <w:rsid w:val="05AC635C"/>
    <w:rsid w:val="0AF169F1"/>
    <w:rsid w:val="0C417D30"/>
    <w:rsid w:val="0D192D63"/>
    <w:rsid w:val="11FD6002"/>
    <w:rsid w:val="18CD5268"/>
    <w:rsid w:val="199C75CF"/>
    <w:rsid w:val="1C2E1B46"/>
    <w:rsid w:val="1DA53498"/>
    <w:rsid w:val="1E0019D0"/>
    <w:rsid w:val="21943296"/>
    <w:rsid w:val="21EA372F"/>
    <w:rsid w:val="23791875"/>
    <w:rsid w:val="255E56E9"/>
    <w:rsid w:val="25D45FCF"/>
    <w:rsid w:val="26112432"/>
    <w:rsid w:val="28000F1D"/>
    <w:rsid w:val="282C4002"/>
    <w:rsid w:val="2B1256BE"/>
    <w:rsid w:val="2B1C1478"/>
    <w:rsid w:val="305E7458"/>
    <w:rsid w:val="31510E3E"/>
    <w:rsid w:val="316D11F9"/>
    <w:rsid w:val="32E44B71"/>
    <w:rsid w:val="341761E8"/>
    <w:rsid w:val="38537052"/>
    <w:rsid w:val="3A1D75D8"/>
    <w:rsid w:val="3B442C0A"/>
    <w:rsid w:val="3C070073"/>
    <w:rsid w:val="3D795CB2"/>
    <w:rsid w:val="45AB25E6"/>
    <w:rsid w:val="46BB2A64"/>
    <w:rsid w:val="49E630D5"/>
    <w:rsid w:val="4BC8445F"/>
    <w:rsid w:val="4C375484"/>
    <w:rsid w:val="4F155138"/>
    <w:rsid w:val="50D5579C"/>
    <w:rsid w:val="52547950"/>
    <w:rsid w:val="53226611"/>
    <w:rsid w:val="567D4453"/>
    <w:rsid w:val="57C46BA6"/>
    <w:rsid w:val="5C067998"/>
    <w:rsid w:val="5EF56A1A"/>
    <w:rsid w:val="5F0F2B4A"/>
    <w:rsid w:val="61ED4A5A"/>
    <w:rsid w:val="620C57AE"/>
    <w:rsid w:val="63A5064A"/>
    <w:rsid w:val="66911C5A"/>
    <w:rsid w:val="6D931EAE"/>
    <w:rsid w:val="6FAD0CE0"/>
    <w:rsid w:val="7660395B"/>
    <w:rsid w:val="769E7470"/>
    <w:rsid w:val="7C0A6BBB"/>
    <w:rsid w:val="7E491F0F"/>
    <w:rsid w:val="7EB039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cw</Company>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2017-04-20T01:21:00Z</dcterms:created>
  <dc:creator>马瑶瑶</dc:creator>
  <cp:lastModifiedBy>Administrator</cp:lastModifiedBy>
  <dcterms:modified xsi:type="dcterms:W3CDTF">2017-11-02T07:18:02Z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