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中共唐山市委</w:t>
      </w:r>
      <w:r>
        <w:rPr>
          <w:rFonts w:hint="eastAsia" w:asciiTheme="majorEastAsia" w:hAnsiTheme="majorEastAsia" w:eastAsiaTheme="majorEastAsia"/>
          <w:b/>
          <w:sz w:val="44"/>
          <w:szCs w:val="44"/>
          <w:lang w:eastAsia="zh-CN"/>
        </w:rPr>
        <w:t>宣传</w:t>
      </w:r>
      <w:r>
        <w:rPr>
          <w:rFonts w:hint="eastAsia" w:asciiTheme="majorEastAsia" w:hAnsiTheme="majorEastAsia" w:eastAsiaTheme="majorEastAsia"/>
          <w:b/>
          <w:sz w:val="44"/>
          <w:szCs w:val="44"/>
        </w:rPr>
        <w:t>部</w:t>
      </w:r>
    </w:p>
    <w:p>
      <w:pPr>
        <w:spacing w:line="600" w:lineRule="exact"/>
        <w:ind w:left="42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2018年度部门概况及预算说明</w:t>
      </w:r>
    </w:p>
    <w:p>
      <w:pPr>
        <w:spacing w:line="600" w:lineRule="exact"/>
        <w:ind w:left="420"/>
        <w:rPr>
          <w:rFonts w:ascii="仿宋_GB2312" w:eastAsia="仿宋_GB2312"/>
          <w:sz w:val="32"/>
          <w:szCs w:val="32"/>
        </w:rPr>
      </w:pPr>
    </w:p>
    <w:p>
      <w:pPr>
        <w:pStyle w:val="7"/>
        <w:numPr>
          <w:ilvl w:val="0"/>
          <w:numId w:val="1"/>
        </w:numPr>
        <w:spacing w:line="600" w:lineRule="exact"/>
        <w:ind w:firstLineChars="0"/>
        <w:rPr>
          <w:rFonts w:ascii="仿宋_GB2312" w:eastAsia="仿宋_GB2312"/>
          <w:b/>
          <w:sz w:val="32"/>
          <w:szCs w:val="32"/>
        </w:rPr>
      </w:pPr>
      <w:r>
        <w:rPr>
          <w:rFonts w:hint="eastAsia" w:ascii="仿宋_GB2312" w:eastAsia="仿宋_GB2312"/>
          <w:b/>
          <w:sz w:val="32"/>
          <w:szCs w:val="32"/>
        </w:rPr>
        <w:t>部门职责和机构设置情况</w:t>
      </w:r>
    </w:p>
    <w:p>
      <w:pPr>
        <w:pStyle w:val="7"/>
        <w:spacing w:line="600" w:lineRule="exact"/>
        <w:ind w:left="420" w:firstLine="0" w:firstLineChars="0"/>
        <w:rPr>
          <w:rFonts w:ascii="仿宋_GB2312" w:eastAsia="仿宋_GB2312"/>
          <w:b/>
          <w:sz w:val="32"/>
          <w:szCs w:val="32"/>
        </w:rPr>
      </w:pPr>
      <w:r>
        <w:rPr>
          <w:rFonts w:hint="eastAsia" w:ascii="仿宋_GB2312" w:eastAsia="仿宋_GB2312"/>
          <w:b/>
          <w:sz w:val="32"/>
          <w:szCs w:val="32"/>
        </w:rPr>
        <w:t>(一)部门职责</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根据《中国共产党唐山市委员会宣传部职能配置、内设机构和人员编制方案》规定，中国共产党唐山市委员会宣传部的主要职责是：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1、负责指导全市理论学习、理论研究、理论宣传工作；负责制定全市哲学社会科学发展规划；负责市委理论学习中心组理论学习的有关工作；对市社科联的工作实施方针、政策的指导。</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2、负责引导社会舆论，指导、协调全市各新闻单位的工作。对广播电视局、唐山劳动日报社的工作实施方针、政策的指导。</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3、负责党的文艺方针、政策的宣传和落实，指导全市精神产品的生产，协调督查有关部门对文化市场进行管理。对市文化广播电视新闻出版局、市文联的工作实施方针、政策的 指导。</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规划、部署全局性的思想政治工作；组织对全市性先进典型的学习推广；负责基层党员教育，编写党员教育教材；负责全市爱国主义教育基地的建设、使用、管理；负责政工职称的评审；领导唐山市思想政治工作研究研究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市委委托，会同市委组织部管理新闻、文化、和社科理论部门的领导干部，并负责科级干部管理工作；对县（市）区委宣传部的任免提出意见；制定对各县（市）、区委宣传部长、副部长、宣传文化系统业务骨干的培训规划组织实施；联系宣传文化系统的知识分子，配合有关部门做好知识分子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6、负责提出全市宣传文化事业发展的指导方针；指导宣传文化系统制定有关政策、地方性法规；按照市委的工作部署，协调宣传文化系统各部门之间的关系。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7、研究、提出全市对外宣传事业发展规划，组织协调全市对外宣传和网上新闻宣传工作，完成各项外宣工作。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8、研究拟定有关全市精神文明建设的方针政策；规划部署全市精神文明建设工作；组织指导全市群众性精神文明创建活动。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9、负责网络管理、宣传，加强舆情监管。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10、负责制定志愿服务活动规划，协调全市志愿服务活动。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11、会同军分区共同管理唐山市国防教育办公室的工作。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12、承办市委交办的其他工作。</w:t>
      </w:r>
    </w:p>
    <w:p>
      <w:pPr>
        <w:spacing w:line="360" w:lineRule="auto"/>
        <w:ind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13、全面宣传十九大精神，围绕十九大开展系列主题活动。</w:t>
      </w:r>
    </w:p>
    <w:p>
      <w:pPr>
        <w:spacing w:line="600" w:lineRule="exact"/>
        <w:ind w:firstLine="643" w:firstLineChars="200"/>
        <w:jc w:val="left"/>
        <w:rPr>
          <w:rFonts w:ascii="仿宋_GB2312" w:hAnsi="宋体" w:eastAsia="仿宋_GB2312" w:cs="方正仿宋_GBK"/>
          <w:b/>
          <w:sz w:val="32"/>
          <w:szCs w:val="32"/>
        </w:rPr>
      </w:pPr>
      <w:r>
        <w:rPr>
          <w:rFonts w:hint="eastAsia" w:ascii="仿宋_GB2312" w:hAnsi="宋体" w:eastAsia="仿宋_GB2312" w:cs="方正仿宋_GBK"/>
          <w:b/>
          <w:sz w:val="32"/>
          <w:szCs w:val="32"/>
        </w:rPr>
        <w:t xml:space="preserve"> (二)机构设置情况</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（1）中国共产党唐山市委员会宣传部为财政拨款的行政机关</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中国共产党唐山市委员会宣传部职研会为财政性资金基本保证经费的参公单位</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（3）中国共产党唐山市委员会宣传部（3个中心）为财政性资金基本保证经费的事业单位</w:t>
      </w:r>
    </w:p>
    <w:p>
      <w:pP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（4）唐山市国防教育办公室为财政拨款的行政机关</w:t>
      </w:r>
      <w:r>
        <w:rPr>
          <w:rFonts w:hint="eastAsia" w:ascii="仿宋_GB2312" w:hAnsi="仿宋_GB2312" w:eastAsia="仿宋_GB2312" w:cs="仿宋_GB2312"/>
          <w:sz w:val="32"/>
          <w:szCs w:val="32"/>
        </w:rPr>
        <w:t>。</w:t>
      </w:r>
    </w:p>
    <w:p>
      <w:pPr>
        <w:spacing w:line="600" w:lineRule="exact"/>
        <w:ind w:firstLine="420"/>
        <w:jc w:val="left"/>
        <w:rPr>
          <w:rFonts w:ascii="仿宋_GB2312" w:hAnsi="宋体" w:eastAsia="仿宋_GB2312" w:cs="方正仿宋_GBK"/>
          <w:b/>
          <w:sz w:val="32"/>
          <w:szCs w:val="32"/>
        </w:rPr>
      </w:pPr>
      <w:r>
        <w:rPr>
          <w:rFonts w:hint="eastAsia" w:ascii="仿宋_GB2312" w:hAnsi="宋体" w:eastAsia="仿宋_GB2312" w:cs="方正仿宋_GBK"/>
          <w:b/>
          <w:sz w:val="32"/>
          <w:szCs w:val="32"/>
        </w:rPr>
        <w:t>二、部门预算安排总体情况</w:t>
      </w:r>
    </w:p>
    <w:p>
      <w:pPr>
        <w:spacing w:line="600" w:lineRule="exact"/>
        <w:ind w:firstLine="420"/>
        <w:rPr>
          <w:rFonts w:ascii="仿宋_GB2312" w:eastAsia="仿宋_GB2312"/>
          <w:sz w:val="32"/>
          <w:szCs w:val="32"/>
        </w:rPr>
      </w:pPr>
      <w:r>
        <w:rPr>
          <w:rFonts w:hint="eastAsia" w:ascii="仿宋_GB2312" w:eastAsia="仿宋_GB2312"/>
          <w:sz w:val="32"/>
          <w:szCs w:val="32"/>
        </w:rPr>
        <w:t>按照预算管理有关规定，我部预算编制实行综合预算制度，即全部收入和支出都反映在预算中。</w:t>
      </w:r>
    </w:p>
    <w:p>
      <w:pPr>
        <w:pStyle w:val="7"/>
        <w:spacing w:line="600" w:lineRule="exact"/>
        <w:ind w:left="420" w:leftChars="200" w:firstLine="321" w:firstLineChars="100"/>
        <w:jc w:val="left"/>
        <w:rPr>
          <w:rFonts w:ascii="仿宋_GB2312" w:eastAsia="仿宋_GB2312"/>
          <w:b/>
          <w:sz w:val="32"/>
          <w:szCs w:val="32"/>
        </w:rPr>
      </w:pPr>
      <w:r>
        <w:rPr>
          <w:rFonts w:hint="eastAsia" w:ascii="仿宋_GB2312" w:eastAsia="仿宋_GB2312"/>
          <w:b/>
          <w:sz w:val="32"/>
          <w:szCs w:val="32"/>
        </w:rPr>
        <w:t>(一)收入说明</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2018年我部预算收入</w:t>
      </w:r>
      <w:r>
        <w:rPr>
          <w:rFonts w:hint="eastAsia" w:ascii="仿宋_GB2312" w:eastAsia="仿宋_GB2312"/>
          <w:sz w:val="32"/>
          <w:szCs w:val="32"/>
          <w:lang w:val="en-US" w:eastAsia="zh-CN"/>
        </w:rPr>
        <w:t>3004.85</w:t>
      </w:r>
      <w:r>
        <w:rPr>
          <w:rFonts w:hint="eastAsia" w:ascii="仿宋_GB2312" w:eastAsia="仿宋_GB2312"/>
          <w:sz w:val="32"/>
          <w:szCs w:val="32"/>
        </w:rPr>
        <w:t>万元，一般公共预算收入</w:t>
      </w:r>
      <w:r>
        <w:rPr>
          <w:rFonts w:hint="eastAsia" w:ascii="仿宋_GB2312" w:eastAsia="仿宋_GB2312"/>
          <w:sz w:val="32"/>
          <w:szCs w:val="32"/>
          <w:lang w:val="en-US" w:eastAsia="zh-CN"/>
        </w:rPr>
        <w:t>2942.85万元，政府性基金预算拨款安排62万元</w:t>
      </w:r>
      <w:r>
        <w:rPr>
          <w:rFonts w:hint="eastAsia" w:ascii="仿宋_GB2312" w:eastAsia="仿宋_GB2312"/>
          <w:sz w:val="32"/>
          <w:szCs w:val="32"/>
        </w:rPr>
        <w:t>。</w:t>
      </w:r>
    </w:p>
    <w:p>
      <w:pPr>
        <w:pStyle w:val="7"/>
        <w:spacing w:line="600" w:lineRule="exact"/>
        <w:ind w:left="420" w:leftChars="200" w:firstLine="321" w:firstLineChars="100"/>
        <w:jc w:val="left"/>
        <w:rPr>
          <w:rFonts w:ascii="仿宋_GB2312" w:eastAsia="仿宋_GB2312"/>
          <w:b/>
          <w:sz w:val="32"/>
          <w:szCs w:val="32"/>
        </w:rPr>
      </w:pPr>
      <w:r>
        <w:rPr>
          <w:rFonts w:hint="eastAsia" w:ascii="仿宋_GB2312" w:eastAsia="仿宋_GB2312"/>
          <w:b/>
          <w:sz w:val="32"/>
          <w:szCs w:val="32"/>
        </w:rPr>
        <w:t>(二)支出说明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2017年我部预算</w:t>
      </w:r>
      <w:r>
        <w:rPr>
          <w:rFonts w:hint="eastAsia" w:ascii="仿宋_GB2312" w:eastAsia="仿宋_GB2312"/>
          <w:sz w:val="32"/>
          <w:szCs w:val="32"/>
          <w:lang w:eastAsia="zh-CN"/>
        </w:rPr>
        <w:t>支出</w:t>
      </w:r>
      <w:r>
        <w:rPr>
          <w:rFonts w:hint="eastAsia" w:ascii="仿宋_GB2312" w:eastAsia="仿宋_GB2312"/>
          <w:sz w:val="32"/>
          <w:szCs w:val="32"/>
          <w:lang w:val="en-US" w:eastAsia="zh-CN"/>
        </w:rPr>
        <w:t>3004.85</w:t>
      </w:r>
      <w:r>
        <w:rPr>
          <w:rFonts w:hint="eastAsia" w:ascii="仿宋_GB2312" w:eastAsia="仿宋_GB2312"/>
          <w:sz w:val="32"/>
          <w:szCs w:val="32"/>
        </w:rPr>
        <w:t>万元，其中，基本支出</w:t>
      </w:r>
      <w:r>
        <w:rPr>
          <w:rFonts w:hint="eastAsia" w:ascii="仿宋_GB2312" w:eastAsia="仿宋_GB2312"/>
          <w:sz w:val="32"/>
          <w:szCs w:val="32"/>
          <w:lang w:val="en-US" w:eastAsia="zh-CN"/>
        </w:rPr>
        <w:t>1192.85</w:t>
      </w:r>
      <w:r>
        <w:rPr>
          <w:rFonts w:hint="eastAsia" w:ascii="仿宋_GB2312" w:eastAsia="仿宋_GB2312"/>
          <w:sz w:val="32"/>
          <w:szCs w:val="32"/>
        </w:rPr>
        <w:t>万元，包括人员经费支出和公用经费支出；项目支出</w:t>
      </w:r>
      <w:r>
        <w:rPr>
          <w:rFonts w:hint="eastAsia" w:ascii="仿宋_GB2312" w:eastAsia="仿宋_GB2312"/>
          <w:sz w:val="32"/>
          <w:szCs w:val="32"/>
          <w:lang w:val="en-US" w:eastAsia="zh-CN"/>
        </w:rPr>
        <w:t>1812</w:t>
      </w:r>
      <w:r>
        <w:rPr>
          <w:rFonts w:hint="eastAsia" w:ascii="仿宋_GB2312" w:eastAsia="仿宋_GB2312"/>
          <w:sz w:val="32"/>
          <w:szCs w:val="32"/>
        </w:rPr>
        <w:t>万元，包括本级支出和对下补助支出。</w:t>
      </w:r>
    </w:p>
    <w:p>
      <w:pPr>
        <w:pStyle w:val="7"/>
        <w:numPr>
          <w:ilvl w:val="0"/>
          <w:numId w:val="2"/>
        </w:numPr>
        <w:spacing w:line="600" w:lineRule="exact"/>
        <w:ind w:firstLineChars="0"/>
        <w:rPr>
          <w:rFonts w:ascii="仿宋_GB2312" w:eastAsia="仿宋_GB2312"/>
          <w:b/>
          <w:sz w:val="32"/>
          <w:szCs w:val="32"/>
        </w:rPr>
      </w:pPr>
      <w:r>
        <w:rPr>
          <w:rFonts w:hint="eastAsia" w:ascii="仿宋_GB2312" w:eastAsia="仿宋_GB2312"/>
          <w:b/>
          <w:sz w:val="32"/>
          <w:szCs w:val="32"/>
        </w:rPr>
        <w:t>机关运行经费安排情况</w:t>
      </w:r>
    </w:p>
    <w:p>
      <w:pPr>
        <w:spacing w:line="600" w:lineRule="exact"/>
        <w:ind w:firstLine="645"/>
        <w:rPr>
          <w:rFonts w:hint="eastAsia" w:ascii="仿宋_GB2312" w:eastAsia="仿宋_GB2312"/>
          <w:sz w:val="32"/>
          <w:szCs w:val="32"/>
        </w:rPr>
      </w:pPr>
      <w:r>
        <w:rPr>
          <w:rFonts w:hint="eastAsia" w:ascii="仿宋_GB2312" w:eastAsia="仿宋_GB2312"/>
          <w:sz w:val="32"/>
          <w:szCs w:val="32"/>
        </w:rPr>
        <w:t>2018年我部机关运行经费预算支出</w:t>
      </w:r>
      <w:r>
        <w:rPr>
          <w:rFonts w:hint="eastAsia" w:ascii="仿宋_GB2312" w:eastAsia="仿宋_GB2312"/>
          <w:sz w:val="32"/>
          <w:szCs w:val="32"/>
          <w:lang w:val="en-US" w:eastAsia="zh-CN"/>
        </w:rPr>
        <w:t>330.73</w:t>
      </w:r>
      <w:r>
        <w:rPr>
          <w:rFonts w:hint="eastAsia" w:ascii="仿宋_GB2312" w:eastAsia="仿宋_GB2312"/>
          <w:sz w:val="32"/>
          <w:szCs w:val="32"/>
        </w:rPr>
        <w:t>万元。机关运行经费是指各部门的公用经费，主要包括办公费、邮电费、差旅费、会议费、福利费、日常维修费、专用材料及一般设备购置费、公务用车运行维护费以及其他费用。</w:t>
      </w:r>
    </w:p>
    <w:p>
      <w:pPr>
        <w:pStyle w:val="7"/>
        <w:numPr>
          <w:ilvl w:val="0"/>
          <w:numId w:val="2"/>
        </w:numPr>
        <w:spacing w:line="600" w:lineRule="exact"/>
        <w:ind w:firstLineChars="0"/>
        <w:rPr>
          <w:rFonts w:ascii="仿宋_GB2312" w:eastAsia="仿宋_GB2312"/>
          <w:b/>
          <w:sz w:val="32"/>
          <w:szCs w:val="32"/>
        </w:rPr>
      </w:pPr>
      <w:r>
        <w:rPr>
          <w:rFonts w:hint="eastAsia" w:ascii="仿宋_GB2312" w:eastAsia="仿宋_GB2312"/>
          <w:b/>
          <w:sz w:val="32"/>
          <w:szCs w:val="32"/>
        </w:rPr>
        <w:t>财政拨款“三公”及会议培训经费预算情况</w:t>
      </w:r>
    </w:p>
    <w:p>
      <w:pPr>
        <w:spacing w:line="600" w:lineRule="exact"/>
        <w:ind w:firstLine="645"/>
        <w:rPr>
          <w:rFonts w:hint="eastAsia" w:ascii="仿宋_GB2312" w:eastAsia="仿宋_GB2312"/>
          <w:sz w:val="32"/>
          <w:szCs w:val="32"/>
        </w:rPr>
      </w:pPr>
      <w:r>
        <w:rPr>
          <w:rFonts w:hint="eastAsia" w:ascii="仿宋_GB2312" w:eastAsia="仿宋_GB2312"/>
          <w:sz w:val="32"/>
          <w:szCs w:val="32"/>
        </w:rPr>
        <w:t>2018年，财政拨款“三公”经费预算安排</w:t>
      </w:r>
      <w:r>
        <w:rPr>
          <w:rFonts w:hint="eastAsia" w:ascii="仿宋_GB2312" w:eastAsia="仿宋_GB2312"/>
          <w:sz w:val="32"/>
          <w:szCs w:val="32"/>
          <w:lang w:val="en-US" w:eastAsia="zh-CN"/>
        </w:rPr>
        <w:t>28.77</w:t>
      </w:r>
      <w:r>
        <w:rPr>
          <w:rFonts w:hint="eastAsia" w:ascii="仿宋_GB2312" w:eastAsia="仿宋_GB2312"/>
          <w:sz w:val="32"/>
          <w:szCs w:val="32"/>
        </w:rPr>
        <w:t>万元，其中公务用车运行维护费</w:t>
      </w:r>
      <w:r>
        <w:rPr>
          <w:rFonts w:hint="eastAsia" w:ascii="仿宋_GB2312" w:eastAsia="仿宋_GB2312"/>
          <w:sz w:val="32"/>
          <w:szCs w:val="32"/>
          <w:lang w:val="en-US" w:eastAsia="zh-CN"/>
        </w:rPr>
        <w:t>27</w:t>
      </w:r>
      <w:r>
        <w:rPr>
          <w:rFonts w:hint="eastAsia" w:ascii="仿宋_GB2312" w:eastAsia="仿宋_GB2312"/>
          <w:sz w:val="32"/>
          <w:szCs w:val="32"/>
        </w:rPr>
        <w:t>万元，公务接待费1.7</w:t>
      </w:r>
      <w:r>
        <w:rPr>
          <w:rFonts w:hint="eastAsia" w:ascii="仿宋_GB2312" w:eastAsia="仿宋_GB2312"/>
          <w:sz w:val="32"/>
          <w:szCs w:val="32"/>
          <w:lang w:val="en-US" w:eastAsia="zh-CN"/>
        </w:rPr>
        <w:t>7</w:t>
      </w:r>
      <w:r>
        <w:rPr>
          <w:rFonts w:hint="eastAsia" w:ascii="仿宋_GB2312" w:eastAsia="仿宋_GB2312"/>
          <w:sz w:val="32"/>
          <w:szCs w:val="32"/>
        </w:rPr>
        <w:t>万元，无因公出国（境）及公车购置费。</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2018年</w:t>
      </w:r>
      <w:r>
        <w:rPr>
          <w:rFonts w:hint="eastAsia" w:ascii="仿宋_GB2312" w:hAnsi="仿宋_GB2312" w:eastAsia="仿宋_GB2312" w:cs="仿宋_GB2312"/>
          <w:sz w:val="32"/>
          <w:szCs w:val="32"/>
        </w:rPr>
        <w:t>我部“三公”经费预算较201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共计增加</w:t>
      </w:r>
      <w:r>
        <w:rPr>
          <w:rFonts w:hint="eastAsia" w:ascii="仿宋_GB2312" w:hAnsi="仿宋_GB2312" w:eastAsia="仿宋_GB2312" w:cs="仿宋_GB2312"/>
          <w:sz w:val="32"/>
          <w:szCs w:val="32"/>
          <w:lang w:val="en-US" w:eastAsia="zh-CN"/>
        </w:rPr>
        <w:t>0.55万元，其中公务用车运行维护费无变化，</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公务车辆购置费</w:t>
      </w:r>
      <w:r>
        <w:rPr>
          <w:rFonts w:hint="eastAsia" w:ascii="仿宋_GB2312" w:hAnsi="仿宋_GB2312" w:eastAsia="仿宋_GB2312" w:cs="仿宋_GB2312"/>
          <w:sz w:val="32"/>
          <w:szCs w:val="32"/>
          <w:lang w:eastAsia="zh-CN"/>
        </w:rPr>
        <w:t>无变化，公务接待费增加</w:t>
      </w:r>
      <w:r>
        <w:rPr>
          <w:rFonts w:hint="eastAsia" w:ascii="仿宋_GB2312" w:hAnsi="仿宋_GB2312" w:eastAsia="仿宋_GB2312" w:cs="仿宋_GB2312"/>
          <w:sz w:val="32"/>
          <w:szCs w:val="32"/>
          <w:lang w:val="en-US" w:eastAsia="zh-CN"/>
        </w:rPr>
        <w:t>0.55万元，原因为人员增加。</w:t>
      </w:r>
    </w:p>
    <w:p>
      <w:pPr>
        <w:pStyle w:val="7"/>
        <w:numPr>
          <w:ilvl w:val="0"/>
          <w:numId w:val="2"/>
        </w:numPr>
        <w:spacing w:line="600" w:lineRule="exact"/>
        <w:ind w:firstLineChars="0"/>
        <w:rPr>
          <w:rFonts w:ascii="仿宋_GB2312" w:eastAsia="仿宋_GB2312"/>
          <w:b/>
          <w:sz w:val="32"/>
          <w:szCs w:val="32"/>
        </w:rPr>
      </w:pPr>
      <w:r>
        <w:rPr>
          <w:rFonts w:hint="eastAsia" w:ascii="仿宋_GB2312" w:eastAsia="仿宋_GB2312"/>
          <w:b/>
          <w:sz w:val="32"/>
          <w:szCs w:val="32"/>
        </w:rPr>
        <w:t>绩效预算信息情况</w:t>
      </w:r>
    </w:p>
    <w:p>
      <w:pPr>
        <w:spacing w:line="360" w:lineRule="auto"/>
        <w:ind w:firstLine="643" w:firstLineChars="200"/>
        <w:rPr>
          <w:rFonts w:ascii="仿宋_GB2312" w:eastAsia="仿宋_GB2312"/>
          <w:b/>
          <w:sz w:val="32"/>
          <w:szCs w:val="32"/>
        </w:rPr>
      </w:pPr>
      <w:r>
        <w:rPr>
          <w:rFonts w:hint="eastAsia" w:ascii="仿宋" w:hAnsi="仿宋" w:eastAsia="仿宋"/>
          <w:b/>
          <w:sz w:val="32"/>
          <w:szCs w:val="32"/>
        </w:rPr>
        <w:t>（一）总体绩效目标</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1、围绕市委市政府中心工作和阶段性工作，集中报道宣传我市，提示唐山知名度和美誉度，为经济社会发展营造良好舆论氛围。</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2、不断加强互联网管理和应对工作，建立健全覆盖全市、高效运转的互联网管理机制体制。加强和改进网上舆论引导，规范互联网信息传播秩序。加强互联网基础管理，加强互联网工作的组织领导。</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3、指导全市各地各部门严格按照测评体系的要求，扎实推进各项创城工作，为我市全国文明城市测评复查工作奠定良好工作基础，争取继续保持文明城市的称号。</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4、利用各种媒介持续加大经济强省美丽河北广告宣传工作力度，保质保量完成省委安排工作部署。</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5、通过各种媒体宣传，提升唐山的知名度和美誉度，持续打造唐山对外的良好形象，吸引游人和对战略资者。</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6、指导全市乡村(城市)学校少年宫开展活动，实现以乐促智、以读养德、以技促能的建设目标。</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（二）部门职责分类及绩效目标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1、负责指导全市理论学习、理论研究、理论宣传工作；负责制定全市哲学社会科学发展规划；负责市委理论学习中心组理论学习的有关工作；对市社科联的工作实施方针、政策的指导。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2、负责引导社会舆论，指导、协调全市各新闻单位的工作。对广播电视局、唐山劳动日报社的工作实施方针、政策的指导。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3、负责党的文艺方针、政策的宣传和落实，指导全市精神产品的生产，协调督查有关部门对文化市场进行管理。对市文化广播电视新闻出版局、市文联的工作实施方针、政策的 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规划、部署全局性的思想政治工作；组织对全市性先进典型的学习推广；负责基层党员教育，编写党员教育教材；负责全市爱国主义教育基地的建设、使用、管理；负责政工职称的评审；领导唐山市思想政治工作研究研究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市委委托，会同市委组织部管理新闻、文化、和社科理论部门的领导干部，并负责科级干部管理工作；对县（市）区委宣传部的任免提出意见；制定对各县（市）、区委宣传部长、副部长、宣传文化系统业务骨干的培训规划组织实施；联系宣传文化系统的知识分子，配合有关部门做好知识分子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6、负责提出全市宣传文化事业发展的指导方针；指导宣传文化系统制定有关政策、地方性法规；按照市委的工作部署，协调宣传文化系统各部门之间的关系。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7、研究、提出全市对外宣传事业发展规划，组织协调全市对外宣传和网上新闻宣传工作，完成各项外宣工作。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8、研究拟定有关全市精神文明建设的方针政策；规划部署全市精神文明建设工作；组织指导全市群众性精神文明创建活动。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9、负责网络管理、宣传，加强舆情监管。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10、负责制定志愿服务活动规划，协调全市志愿服务活动。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11、会同军分区共同管理唐山市国防教育办公室的工作。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12、承办市委交办的其他工作。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r>
        <w:rPr>
          <w:rFonts w:hint="eastAsia" w:ascii="宋体" w:hAnsi="宋体" w:eastAsia="宋体" w:cs="宋体"/>
        </w:rPr>
        <w:br w:type="page"/>
      </w:r>
    </w:p>
    <w:p>
      <w:pPr>
        <w:pStyle w:val="7"/>
        <w:numPr>
          <w:ilvl w:val="0"/>
          <w:numId w:val="0"/>
        </w:numPr>
        <w:spacing w:line="600" w:lineRule="exact"/>
        <w:ind w:left="640" w:leftChars="0"/>
        <w:rPr>
          <w:rFonts w:ascii="仿宋_GB2312" w:eastAsia="仿宋_GB2312"/>
          <w:b/>
          <w:sz w:val="32"/>
          <w:szCs w:val="32"/>
        </w:rPr>
      </w:pPr>
    </w:p>
    <w:tbl>
      <w:tblPr>
        <w:tblStyle w:val="6"/>
        <w:tblpPr w:leftFromText="180" w:rightFromText="180" w:vertAnchor="text" w:horzAnchor="page" w:tblpX="1148" w:tblpY="681"/>
        <w:tblOverlap w:val="never"/>
        <w:tblW w:w="15364" w:type="dxa"/>
        <w:tblInd w:w="0" w:type="dxa"/>
        <w:tblLayout w:type="fixed"/>
        <w:tblCellMar>
          <w:top w:w="0" w:type="dxa"/>
          <w:left w:w="108" w:type="dxa"/>
          <w:bottom w:w="0" w:type="dxa"/>
          <w:right w:w="108" w:type="dxa"/>
        </w:tblCellMar>
      </w:tblPr>
      <w:tblGrid>
        <w:gridCol w:w="1702"/>
        <w:gridCol w:w="1276"/>
        <w:gridCol w:w="3827"/>
        <w:gridCol w:w="2693"/>
        <w:gridCol w:w="1843"/>
        <w:gridCol w:w="851"/>
        <w:gridCol w:w="1161"/>
        <w:gridCol w:w="1161"/>
        <w:gridCol w:w="850"/>
      </w:tblGrid>
      <w:tr>
        <w:tblPrEx>
          <w:tblLayout w:type="fixed"/>
          <w:tblCellMar>
            <w:top w:w="0" w:type="dxa"/>
            <w:left w:w="108" w:type="dxa"/>
            <w:bottom w:w="0" w:type="dxa"/>
            <w:right w:w="108" w:type="dxa"/>
          </w:tblCellMar>
        </w:tblPrEx>
        <w:trPr>
          <w:cantSplit/>
          <w:tblHeader/>
        </w:trPr>
        <w:tc>
          <w:tcPr>
            <w:tcW w:w="9498" w:type="dxa"/>
            <w:gridSpan w:val="4"/>
            <w:shd w:val="clear" w:color="auto" w:fill="auto"/>
            <w:vAlign w:val="center"/>
          </w:tcPr>
          <w:p>
            <w:pPr>
              <w:widowControl/>
              <w:jc w:val="left"/>
              <w:rPr>
                <w:rFonts w:ascii="黑体" w:hAnsi="黑体" w:eastAsia="黑体" w:cs="Arial"/>
                <w:b/>
                <w:kern w:val="0"/>
                <w:szCs w:val="21"/>
              </w:rPr>
            </w:pPr>
            <w:r>
              <w:rPr>
                <w:rFonts w:ascii="宋体" w:hAnsi="宋体"/>
                <w:sz w:val="28"/>
              </w:rPr>
              <w:t>202中国共产党唐山市委员会宣传部</w:t>
            </w:r>
          </w:p>
        </w:tc>
        <w:tc>
          <w:tcPr>
            <w:tcW w:w="5866" w:type="dxa"/>
            <w:gridSpan w:val="5"/>
            <w:shd w:val="clear" w:color="auto" w:fill="auto"/>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02"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4023" w:type="dxa"/>
            <w:gridSpan w:val="4"/>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116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116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1161" w:type="dxa"/>
            <w:vMerge w:val="continue"/>
            <w:vAlign w:val="center"/>
          </w:tcPr>
          <w:p>
            <w:pPr>
              <w:widowControl/>
              <w:jc w:val="center"/>
              <w:rPr>
                <w:rFonts w:ascii="黑体" w:hAnsi="黑体" w:eastAsia="黑体" w:cs="宋体"/>
                <w:b/>
                <w:bCs/>
                <w:color w:val="000000"/>
                <w:kern w:val="0"/>
                <w:szCs w:val="21"/>
              </w:rPr>
            </w:pPr>
          </w:p>
        </w:tc>
        <w:tc>
          <w:tcPr>
            <w:tcW w:w="1161"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1" w:type="dxa"/>
            <w:vMerge w:val="continue"/>
            <w:shd w:val="clear" w:color="auto" w:fill="auto"/>
            <w:vAlign w:val="center"/>
          </w:tcPr>
          <w:p>
            <w:pPr>
              <w:widowControl/>
              <w:rPr>
                <w:rFonts w:ascii="宋体" w:hAnsi="宋体" w:cs="宋体"/>
                <w:color w:val="000000"/>
                <w:kern w:val="0"/>
                <w:szCs w:val="21"/>
              </w:rPr>
            </w:pPr>
          </w:p>
        </w:tc>
        <w:tc>
          <w:tcPr>
            <w:tcW w:w="1161" w:type="dxa"/>
            <w:vMerge w:val="continue"/>
            <w:shd w:val="clear" w:color="auto" w:fill="auto"/>
            <w:vAlign w:val="center"/>
          </w:tcPr>
          <w:p>
            <w:pPr>
              <w:widowControl/>
              <w:rPr>
                <w:rFonts w:ascii="宋体" w:hAnsi="宋体" w:cs="宋体"/>
                <w:color w:val="000000"/>
                <w:kern w:val="0"/>
                <w:szCs w:val="21"/>
              </w:rPr>
            </w:pPr>
          </w:p>
        </w:tc>
        <w:tc>
          <w:tcPr>
            <w:tcW w:w="1161"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宣传事务管理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1812.00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负责系统综合业务管理和机关综合事务管理。</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确保各项业务工作谋划到位、顺利开展。保障机关工作正常高效运转。</w:t>
            </w:r>
          </w:p>
        </w:tc>
        <w:tc>
          <w:tcPr>
            <w:tcW w:w="1843"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开展会议组织管理、财务资产管理、干部人才队伍建设、机关党建等工作。</w:t>
            </w:r>
          </w:p>
        </w:tc>
        <w:tc>
          <w:tcPr>
            <w:tcW w:w="2693" w:type="dxa"/>
            <w:vMerge w:val="restart"/>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补助青少年宫数量</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62个</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不足</w:t>
            </w:r>
            <w:r>
              <w:rPr>
                <w:rFonts w:ascii="宋体" w:hAnsi="宋体" w:cs="宋体"/>
                <w:color w:val="000000"/>
                <w:kern w:val="0"/>
                <w:szCs w:val="21"/>
              </w:rPr>
              <w:t>62个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每个青少年宫补助标准</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1万元</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不足</w:t>
            </w:r>
            <w:r>
              <w:rPr>
                <w:rFonts w:ascii="宋体" w:hAnsi="宋体" w:cs="宋体"/>
                <w:color w:val="000000"/>
                <w:kern w:val="0"/>
                <w:szCs w:val="21"/>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指导全市乡村（城市）学校少宫开展活动，实现以乐促智、以技促能、以读养德的建设目标。</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通过深入开展技能和琴棋书画等兴趣培养，提高他们的学习情趣</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按测评体系要求，出色完成各项指标</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未完成测评指标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预计完成时间。</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按时完成计划项目</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未按时完成计划项目。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开展会议组织管理、财务资产管理、干部人才队伍建设、机关党建等工作。</w:t>
            </w:r>
          </w:p>
        </w:tc>
        <w:tc>
          <w:tcPr>
            <w:tcW w:w="2693"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指导全市乡村（城市）学校少宫开展活动，实现以乐促智、以技促能、以读养德的建设目标。</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持续提高未成年人思想道德水平</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全国测评成绩</w:t>
            </w:r>
            <w:r>
              <w:rPr>
                <w:rFonts w:ascii="宋体" w:hAnsi="宋体" w:cs="宋体"/>
                <w:color w:val="000000"/>
                <w:kern w:val="0"/>
                <w:szCs w:val="21"/>
              </w:rPr>
              <w:t>90分以上</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全国测评成绩在</w:t>
            </w:r>
            <w:r>
              <w:rPr>
                <w:rFonts w:ascii="宋体" w:hAnsi="宋体" w:cs="宋体"/>
                <w:color w:val="000000"/>
                <w:kern w:val="0"/>
                <w:szCs w:val="21"/>
              </w:rPr>
              <w:t>90分以下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经费保障情况</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未超出预算。</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20%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40%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开展会议组织管理、财务资产管理、干部人才队伍建设、机关党建等工作。</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指导全市各地各部门严格按照测评体系要求，扎实推进各项创建工作，为我市全国文明城市测评复查工作奠定良好工作基础，争取继续保持文明城称号。</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编印文明城市相关宣传资料。</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完成编印工作。</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未完成编印工作。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开展会议组织管理、财务资产管理、干部人才队伍建设、机关党建等工作。</w:t>
            </w:r>
          </w:p>
        </w:tc>
        <w:tc>
          <w:tcPr>
            <w:tcW w:w="2693"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指导全市各地各部门严格按照测评体系要求，扎实推进各项创建工作，为我市全国文明城市测评复查工作奠定良好工作基础，争取继续保持文明城称号。</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经费保障情况。</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未超出预算。</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20%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40%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预计完成时间。</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按时完成测评。</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未按时完成测评。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保持文明城称号</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保持文明城称号</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未获得文明城称号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开展会议组织管理、财务资产管理、干部人才队伍建设、机关党建等工作。</w:t>
            </w:r>
          </w:p>
        </w:tc>
        <w:tc>
          <w:tcPr>
            <w:tcW w:w="2693"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围绕市委市政府中心工作和阶段性重点工作，集中报道宣传我市，提升唐山知名度和美誉度，为经济社会发展营造良好舆论氛围</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确保在省委宣传部考核中保持先进名次</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省第一名</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全省前三名</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全省后三名</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全省倒数第一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2018年12月底之前完成全部年度任务</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按时完成</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完成任务</w:t>
            </w:r>
            <w:r>
              <w:rPr>
                <w:rFonts w:ascii="宋体" w:hAnsi="宋体" w:cs="宋体"/>
                <w:color w:val="000000"/>
                <w:kern w:val="0"/>
                <w:szCs w:val="21"/>
              </w:rPr>
              <w:t>90%以上</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完成任务</w:t>
            </w:r>
            <w:r>
              <w:rPr>
                <w:rFonts w:ascii="宋体" w:hAnsi="宋体" w:cs="宋体"/>
                <w:color w:val="000000"/>
                <w:kern w:val="0"/>
                <w:szCs w:val="21"/>
              </w:rPr>
              <w:t>80%以上</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完成任务不足</w:t>
            </w: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开展新闻发布会和专题培训班</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完成要求次数</w:t>
            </w:r>
          </w:p>
        </w:tc>
        <w:tc>
          <w:tcPr>
            <w:tcW w:w="1161" w:type="dxa"/>
            <w:shd w:val="clear" w:color="auto" w:fill="auto"/>
            <w:vAlign w:val="center"/>
          </w:tcPr>
          <w:p>
            <w:pPr>
              <w:widowControl/>
              <w:rPr>
                <w:rFonts w:ascii="宋体" w:hAnsi="宋体" w:cs="宋体"/>
                <w:color w:val="000000"/>
                <w:kern w:val="0"/>
                <w:szCs w:val="21"/>
              </w:rPr>
            </w:pPr>
          </w:p>
        </w:tc>
        <w:tc>
          <w:tcPr>
            <w:tcW w:w="116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未完成要求次数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开展会议组织管理、财务资产管理、干部人才队伍建设、机关党建等工作。</w:t>
            </w:r>
          </w:p>
        </w:tc>
        <w:tc>
          <w:tcPr>
            <w:tcW w:w="2693"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围绕市委市政府中心工作和阶段性重点工作，集中报道宣传我市，提升唐山知名度和美誉度，为经济社会发展营造良好舆论氛围</w:t>
            </w:r>
          </w:p>
        </w:tc>
        <w:tc>
          <w:tcPr>
            <w:tcW w:w="1843"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2018年需宣传经费</w:t>
            </w:r>
            <w:r>
              <w:rPr>
                <w:rFonts w:hint="eastAsia" w:ascii="宋体" w:hAnsi="宋体" w:cs="宋体"/>
                <w:color w:val="000000"/>
                <w:kern w:val="0"/>
                <w:szCs w:val="21"/>
              </w:rPr>
              <w:t>10</w:t>
            </w:r>
            <w:r>
              <w:rPr>
                <w:rFonts w:ascii="宋体" w:hAnsi="宋体" w:cs="宋体"/>
                <w:color w:val="000000"/>
                <w:kern w:val="0"/>
                <w:szCs w:val="21"/>
              </w:rPr>
              <w:t>00万元</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未超出预算</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20%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40%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开展会议组织管理、财务资产管理、干部人才队伍建设、机关党建等工作。</w:t>
            </w: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经费保障情况</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未超出预算</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10%</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20%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超出预算</w:t>
            </w:r>
            <w:r>
              <w:rPr>
                <w:rFonts w:ascii="宋体" w:hAnsi="宋体" w:cs="宋体"/>
                <w:color w:val="000000"/>
                <w:kern w:val="0"/>
                <w:szCs w:val="21"/>
              </w:rPr>
              <w:t>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宣传刊发篇（条）数</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刊发篇（条）数</w:t>
            </w:r>
            <w:r>
              <w:rPr>
                <w:rFonts w:ascii="宋体" w:hAnsi="宋体" w:cs="宋体"/>
                <w:color w:val="000000"/>
                <w:kern w:val="0"/>
                <w:szCs w:val="21"/>
              </w:rPr>
              <w:t>3100次以上</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刊发篇（条）数</w:t>
            </w:r>
            <w:r>
              <w:rPr>
                <w:rFonts w:ascii="宋体" w:hAnsi="宋体" w:cs="宋体"/>
                <w:color w:val="000000"/>
                <w:kern w:val="0"/>
                <w:szCs w:val="21"/>
              </w:rPr>
              <w:t>2800-3100次</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刊发篇（条）条数</w:t>
            </w:r>
            <w:r>
              <w:rPr>
                <w:rFonts w:ascii="宋体" w:hAnsi="宋体" w:cs="宋体"/>
                <w:color w:val="000000"/>
                <w:kern w:val="0"/>
                <w:szCs w:val="21"/>
              </w:rPr>
              <w:t>2500-2800次</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刊发篇（条）数</w:t>
            </w:r>
            <w:r>
              <w:rPr>
                <w:rFonts w:ascii="宋体" w:hAnsi="宋体" w:cs="宋体"/>
                <w:color w:val="000000"/>
                <w:kern w:val="0"/>
                <w:szCs w:val="21"/>
              </w:rPr>
              <w:t>2500次以下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预计完成时间</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2018年12月底完成</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滞后</w:t>
            </w:r>
            <w:r>
              <w:rPr>
                <w:rFonts w:ascii="宋体" w:hAnsi="宋体" w:cs="宋体"/>
                <w:color w:val="000000"/>
                <w:kern w:val="0"/>
                <w:szCs w:val="21"/>
              </w:rPr>
              <w:t>1个月完成</w:t>
            </w:r>
          </w:p>
        </w:tc>
        <w:tc>
          <w:tcPr>
            <w:tcW w:w="116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滞后</w:t>
            </w:r>
            <w:r>
              <w:rPr>
                <w:rFonts w:ascii="宋体" w:hAnsi="宋体" w:cs="宋体"/>
                <w:color w:val="000000"/>
                <w:kern w:val="0"/>
                <w:szCs w:val="21"/>
              </w:rPr>
              <w:t>2个月完成</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滞后</w:t>
            </w:r>
            <w:r>
              <w:rPr>
                <w:rFonts w:ascii="宋体" w:hAnsi="宋体" w:cs="宋体"/>
                <w:color w:val="000000"/>
                <w:kern w:val="0"/>
                <w:szCs w:val="21"/>
              </w:rPr>
              <w:t>2个月以上完成</w:t>
            </w:r>
          </w:p>
        </w:tc>
      </w:tr>
    </w:tbl>
    <w:p>
      <w:pPr>
        <w:spacing w:line="600" w:lineRule="exact"/>
        <w:ind w:firstLine="645"/>
        <w:rPr>
          <w:rFonts w:hint="eastAsia" w:ascii="仿宋_GB2312" w:eastAsia="仿宋_GB2312"/>
          <w:sz w:val="32"/>
          <w:szCs w:val="32"/>
        </w:rPr>
      </w:pPr>
    </w:p>
    <w:p>
      <w:pPr>
        <w:rPr>
          <w:rFonts w:hint="eastAsia" w:ascii="仿宋_GB2312" w:hAnsi="宋体" w:eastAsia="仿宋_GB2312" w:cs="方正仿宋_GBK"/>
          <w:sz w:val="32"/>
          <w:szCs w:val="32"/>
        </w:rPr>
      </w:pPr>
    </w:p>
    <w:p>
      <w:pPr>
        <w:rPr>
          <w:rFonts w:hint="eastAsia" w:ascii="仿宋_GB2312" w:hAnsi="宋体" w:eastAsia="仿宋_GB2312" w:cs="方正仿宋_GBK"/>
          <w:sz w:val="32"/>
          <w:szCs w:val="32"/>
        </w:rPr>
      </w:pPr>
    </w:p>
    <w:p>
      <w:pPr>
        <w:rPr>
          <w:rFonts w:hint="eastAsia" w:ascii="仿宋_GB2312" w:hAnsi="宋体" w:eastAsia="仿宋_GB2312" w:cs="方正仿宋_GBK"/>
          <w:sz w:val="32"/>
          <w:szCs w:val="32"/>
        </w:rPr>
      </w:pPr>
    </w:p>
    <w:p>
      <w:pPr>
        <w:rPr>
          <w:rFonts w:hint="eastAsia" w:ascii="仿宋_GB2312" w:hAnsi="宋体" w:eastAsia="仿宋_GB2312" w:cs="方正仿宋_GBK"/>
          <w:sz w:val="32"/>
          <w:szCs w:val="32"/>
        </w:rPr>
      </w:pPr>
    </w:p>
    <w:p>
      <w:pPr>
        <w:rPr>
          <w:rFonts w:hint="eastAsia" w:ascii="仿宋_GB2312" w:hAnsi="宋体" w:eastAsia="仿宋_GB2312" w:cs="方正仿宋_GBK"/>
          <w:sz w:val="32"/>
          <w:szCs w:val="32"/>
        </w:rPr>
      </w:pPr>
    </w:p>
    <w:p>
      <w:pPr>
        <w:pStyle w:val="7"/>
        <w:numPr>
          <w:ilvl w:val="0"/>
          <w:numId w:val="0"/>
        </w:numPr>
        <w:spacing w:line="600" w:lineRule="exact"/>
        <w:rPr>
          <w:rFonts w:hint="eastAsia" w:ascii="仿宋_GB2312" w:eastAsia="仿宋_GB2312"/>
          <w:b/>
          <w:sz w:val="32"/>
          <w:szCs w:val="32"/>
          <w:lang w:val="en-US" w:eastAsia="zh-CN"/>
        </w:rPr>
      </w:pPr>
    </w:p>
    <w:p>
      <w:pPr>
        <w:pStyle w:val="7"/>
        <w:numPr>
          <w:ilvl w:val="0"/>
          <w:numId w:val="0"/>
        </w:numPr>
        <w:spacing w:line="600" w:lineRule="exact"/>
        <w:rPr>
          <w:rFonts w:hint="eastAsia" w:ascii="仿宋_GB2312" w:eastAsia="仿宋_GB2312"/>
          <w:b/>
          <w:sz w:val="32"/>
          <w:szCs w:val="32"/>
          <w:lang w:val="en-US" w:eastAsia="zh-CN"/>
        </w:rPr>
      </w:pPr>
    </w:p>
    <w:p>
      <w:pPr>
        <w:pStyle w:val="7"/>
        <w:numPr>
          <w:ilvl w:val="0"/>
          <w:numId w:val="0"/>
        </w:numPr>
        <w:spacing w:line="600" w:lineRule="exact"/>
        <w:rPr>
          <w:rFonts w:hint="eastAsia"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政府采购预算情况</w:t>
      </w:r>
    </w:p>
    <w:p>
      <w:pPr>
        <w:pStyle w:val="7"/>
        <w:numPr>
          <w:ilvl w:val="0"/>
          <w:numId w:val="0"/>
        </w:numPr>
        <w:spacing w:line="600" w:lineRule="exact"/>
        <w:ind w:leftChars="400"/>
        <w:rPr>
          <w:rFonts w:hint="eastAsia" w:ascii="仿宋_GB2312" w:eastAsia="仿宋_GB2312"/>
          <w:b/>
          <w:sz w:val="32"/>
          <w:szCs w:val="32"/>
        </w:rPr>
      </w:pPr>
    </w:p>
    <w:p>
      <w:pPr>
        <w:pStyle w:val="7"/>
        <w:numPr>
          <w:ilvl w:val="0"/>
          <w:numId w:val="0"/>
        </w:numPr>
        <w:spacing w:line="600" w:lineRule="exact"/>
        <w:ind w:left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年，安排政府采购预算</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万元。具体内容见下表</w:t>
      </w:r>
    </w:p>
    <w:tbl>
      <w:tblPr>
        <w:tblStyle w:val="6"/>
        <w:tblW w:w="14802"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951"/>
        <w:gridCol w:w="1276"/>
        <w:gridCol w:w="850"/>
        <w:gridCol w:w="567"/>
        <w:gridCol w:w="709"/>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9901" w:type="dxa"/>
            <w:gridSpan w:val="10"/>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202中国共产党唐山市委员会宣传部</w:t>
            </w:r>
          </w:p>
        </w:tc>
        <w:tc>
          <w:tcPr>
            <w:tcW w:w="4901"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951"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09" w:type="dxa"/>
            <w:vMerge w:val="restart"/>
            <w:tcBorders>
              <w:top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95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95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95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09"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2" w:hRule="atLeast"/>
          <w:tblHeader/>
          <w:jc w:val="center"/>
        </w:trPr>
        <w:tc>
          <w:tcPr>
            <w:tcW w:w="1647" w:type="dxa"/>
            <w:vMerge w:val="continue"/>
            <w:shd w:val="clear" w:color="auto" w:fill="auto"/>
            <w:vAlign w:val="center"/>
          </w:tcPr>
          <w:p>
            <w:pPr>
              <w:widowControl/>
              <w:jc w:val="left"/>
              <w:rPr>
                <w:rFonts w:ascii="宋体" w:hAnsi="宋体" w:cs="宋体"/>
                <w:color w:val="000000"/>
                <w:kern w:val="0"/>
                <w:szCs w:val="21"/>
              </w:rPr>
            </w:pPr>
          </w:p>
        </w:tc>
        <w:tc>
          <w:tcPr>
            <w:tcW w:w="992" w:type="dxa"/>
            <w:vMerge w:val="continue"/>
            <w:shd w:val="clear" w:color="auto" w:fill="auto"/>
            <w:vAlign w:val="center"/>
          </w:tcPr>
          <w:p>
            <w:pPr>
              <w:widowControl/>
              <w:jc w:val="left"/>
              <w:rPr>
                <w:rFonts w:ascii="宋体" w:hAnsi="宋体" w:cs="宋体"/>
                <w:color w:val="000000"/>
                <w:kern w:val="0"/>
                <w:szCs w:val="21"/>
              </w:rPr>
            </w:pPr>
          </w:p>
        </w:tc>
        <w:tc>
          <w:tcPr>
            <w:tcW w:w="1701" w:type="dxa"/>
            <w:vMerge w:val="continue"/>
            <w:shd w:val="clear" w:color="auto" w:fill="auto"/>
            <w:vAlign w:val="center"/>
          </w:tcPr>
          <w:p>
            <w:pPr>
              <w:widowControl/>
              <w:jc w:val="left"/>
              <w:rPr>
                <w:rFonts w:ascii="宋体" w:hAnsi="宋体" w:cs="宋体"/>
                <w:color w:val="000000"/>
                <w:kern w:val="0"/>
                <w:szCs w:val="21"/>
              </w:rPr>
            </w:pPr>
          </w:p>
        </w:tc>
        <w:tc>
          <w:tcPr>
            <w:tcW w:w="710" w:type="dxa"/>
            <w:vMerge w:val="continue"/>
            <w:shd w:val="clear" w:color="auto" w:fill="auto"/>
            <w:vAlign w:val="center"/>
          </w:tcPr>
          <w:p>
            <w:pPr>
              <w:widowControl/>
              <w:jc w:val="left"/>
              <w:rPr>
                <w:rFonts w:ascii="宋体" w:hAnsi="宋体" w:cs="宋体"/>
                <w:color w:val="000000"/>
                <w:kern w:val="0"/>
                <w:szCs w:val="21"/>
              </w:rPr>
            </w:pPr>
          </w:p>
        </w:tc>
        <w:tc>
          <w:tcPr>
            <w:tcW w:w="951" w:type="dxa"/>
            <w:vMerge w:val="continue"/>
            <w:shd w:val="clear" w:color="auto" w:fill="auto"/>
            <w:vAlign w:val="center"/>
          </w:tcPr>
          <w:p>
            <w:pPr>
              <w:widowControl/>
              <w:jc w:val="left"/>
              <w:rPr>
                <w:rFonts w:ascii="宋体" w:hAnsi="宋体" w:cs="宋体"/>
                <w:color w:val="000000"/>
                <w:kern w:val="0"/>
                <w:szCs w:val="21"/>
              </w:rPr>
            </w:pPr>
          </w:p>
        </w:tc>
        <w:tc>
          <w:tcPr>
            <w:tcW w:w="1276" w:type="dxa"/>
            <w:vMerge w:val="continue"/>
            <w:shd w:val="clear" w:color="auto" w:fill="auto"/>
            <w:vAlign w:val="center"/>
          </w:tcPr>
          <w:p>
            <w:pPr>
              <w:widowControl/>
              <w:jc w:val="left"/>
              <w:rPr>
                <w:rFonts w:ascii="宋体" w:hAnsi="宋体" w:cs="宋体"/>
                <w:color w:val="000000"/>
                <w:kern w:val="0"/>
                <w:szCs w:val="21"/>
              </w:rPr>
            </w:pPr>
          </w:p>
        </w:tc>
        <w:tc>
          <w:tcPr>
            <w:tcW w:w="850" w:type="dxa"/>
            <w:vMerge w:val="continue"/>
            <w:shd w:val="clear" w:color="auto" w:fill="auto"/>
            <w:vAlign w:val="center"/>
          </w:tcPr>
          <w:p>
            <w:pPr>
              <w:widowControl/>
              <w:jc w:val="left"/>
              <w:rPr>
                <w:rFonts w:ascii="宋体" w:hAnsi="宋体" w:cs="宋体"/>
                <w:color w:val="000000"/>
                <w:kern w:val="0"/>
                <w:szCs w:val="21"/>
              </w:rPr>
            </w:pPr>
          </w:p>
        </w:tc>
        <w:tc>
          <w:tcPr>
            <w:tcW w:w="567" w:type="dxa"/>
            <w:vMerge w:val="continue"/>
            <w:shd w:val="clear" w:color="auto" w:fill="auto"/>
            <w:vAlign w:val="center"/>
          </w:tcPr>
          <w:p>
            <w:pPr>
              <w:widowControl/>
              <w:jc w:val="left"/>
              <w:rPr>
                <w:rFonts w:ascii="宋体" w:hAnsi="宋体" w:cs="宋体"/>
                <w:color w:val="000000"/>
                <w:kern w:val="0"/>
                <w:szCs w:val="21"/>
              </w:rPr>
            </w:pPr>
          </w:p>
        </w:tc>
        <w:tc>
          <w:tcPr>
            <w:tcW w:w="709" w:type="dxa"/>
            <w:vMerge w:val="continue"/>
            <w:shd w:val="clear" w:color="auto" w:fill="auto"/>
            <w:vAlign w:val="center"/>
          </w:tcPr>
          <w:p>
            <w:pPr>
              <w:widowControl/>
              <w:jc w:val="right"/>
              <w:rPr>
                <w:rFonts w:ascii="宋体" w:hAnsi="宋体" w:cs="宋体"/>
                <w:color w:val="000000"/>
                <w:kern w:val="0"/>
                <w:szCs w:val="21"/>
              </w:rPr>
            </w:pPr>
          </w:p>
        </w:tc>
        <w:tc>
          <w:tcPr>
            <w:tcW w:w="498"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1"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pPr>
              <w:widowControl/>
              <w:jc w:val="left"/>
              <w:rPr>
                <w:rFonts w:ascii="宋体" w:hAnsi="宋体" w:cs="宋体"/>
                <w:color w:val="000000"/>
                <w:kern w:val="0"/>
                <w:szCs w:val="21"/>
              </w:rPr>
            </w:pPr>
          </w:p>
        </w:tc>
        <w:tc>
          <w:tcPr>
            <w:tcW w:w="1701" w:type="dxa"/>
            <w:shd w:val="clear" w:color="auto" w:fill="auto"/>
            <w:vAlign w:val="center"/>
          </w:tcPr>
          <w:p>
            <w:pPr>
              <w:widowControl/>
              <w:jc w:val="left"/>
              <w:rPr>
                <w:rFonts w:ascii="宋体" w:hAnsi="宋体" w:cs="宋体"/>
                <w:color w:val="000000"/>
                <w:kern w:val="0"/>
                <w:szCs w:val="21"/>
              </w:rPr>
            </w:pPr>
          </w:p>
        </w:tc>
        <w:tc>
          <w:tcPr>
            <w:tcW w:w="710" w:type="dxa"/>
            <w:shd w:val="clear" w:color="auto" w:fill="auto"/>
            <w:vAlign w:val="center"/>
          </w:tcPr>
          <w:p>
            <w:pPr>
              <w:widowControl/>
              <w:jc w:val="left"/>
              <w:rPr>
                <w:rFonts w:ascii="宋体" w:hAnsi="宋体" w:cs="宋体"/>
                <w:color w:val="000000"/>
                <w:kern w:val="0"/>
                <w:szCs w:val="21"/>
              </w:rPr>
            </w:pPr>
          </w:p>
        </w:tc>
        <w:tc>
          <w:tcPr>
            <w:tcW w:w="951"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567" w:type="dxa"/>
            <w:shd w:val="clear" w:color="auto" w:fill="auto"/>
            <w:vAlign w:val="center"/>
          </w:tcPr>
          <w:p>
            <w:pPr>
              <w:widowControl/>
              <w:jc w:val="left"/>
              <w:rPr>
                <w:rFonts w:ascii="宋体" w:hAnsi="宋体" w:cs="宋体"/>
                <w:color w:val="000000"/>
                <w:kern w:val="0"/>
                <w:szCs w:val="21"/>
              </w:rPr>
            </w:pPr>
          </w:p>
        </w:tc>
        <w:tc>
          <w:tcPr>
            <w:tcW w:w="709" w:type="dxa"/>
            <w:shd w:val="clear" w:color="auto" w:fill="auto"/>
            <w:vAlign w:val="center"/>
          </w:tcPr>
          <w:p>
            <w:pPr>
              <w:widowControl/>
              <w:jc w:val="right"/>
              <w:rPr>
                <w:rFonts w:ascii="宋体" w:hAnsi="宋体" w:cs="宋体"/>
                <w:color w:val="000000"/>
                <w:kern w:val="0"/>
                <w:szCs w:val="21"/>
              </w:rPr>
            </w:pPr>
          </w:p>
        </w:tc>
        <w:tc>
          <w:tcPr>
            <w:tcW w:w="498"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唐山市国防教育办公室</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2013399</w:t>
            </w:r>
          </w:p>
        </w:tc>
        <w:tc>
          <w:tcPr>
            <w:tcW w:w="170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A3彩色</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bl>
    <w:p>
      <w:pPr>
        <w:rPr>
          <w:rFonts w:hint="eastAsia" w:ascii="仿宋_GB2312" w:hAnsi="宋体" w:eastAsia="仿宋_GB2312" w:cs="方正仿宋_GBK"/>
          <w:sz w:val="32"/>
          <w:szCs w:val="32"/>
        </w:rPr>
      </w:pPr>
    </w:p>
    <w:p>
      <w:pPr>
        <w:rPr>
          <w:rFonts w:hint="eastAsia" w:ascii="仿宋_GB2312" w:hAnsi="宋体" w:eastAsia="仿宋_GB2312" w:cs="方正仿宋_GBK"/>
          <w:sz w:val="32"/>
          <w:szCs w:val="32"/>
        </w:rPr>
        <w:sectPr>
          <w:pgSz w:w="16838" w:h="11906" w:orient="landscape"/>
          <w:pgMar w:top="1800" w:right="1440" w:bottom="1800" w:left="1440" w:header="851" w:footer="992" w:gutter="0"/>
          <w:cols w:space="425" w:num="1"/>
          <w:docGrid w:type="lines" w:linePitch="312" w:charSpace="0"/>
        </w:sectPr>
      </w:pPr>
    </w:p>
    <w:p>
      <w:pPr>
        <w:spacing w:line="360" w:lineRule="auto"/>
        <w:rPr>
          <w:rFonts w:ascii="仿宋" w:hAnsi="仿宋" w:eastAsia="仿宋"/>
          <w:sz w:val="32"/>
          <w:szCs w:val="32"/>
        </w:rPr>
      </w:pPr>
      <w:r>
        <w:rPr>
          <w:rFonts w:hint="eastAsia" w:ascii="仿宋" w:hAnsi="仿宋" w:eastAsia="仿宋"/>
          <w:sz w:val="32"/>
          <w:szCs w:val="32"/>
        </w:rPr>
        <w:t>七、国有资产信息情况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1、截至201</w:t>
      </w:r>
      <w:r>
        <w:rPr>
          <w:rFonts w:hint="eastAsia" w:ascii="仿宋" w:hAnsi="仿宋" w:eastAsia="仿宋"/>
          <w:sz w:val="32"/>
          <w:szCs w:val="32"/>
          <w:lang w:val="en-US" w:eastAsia="zh-CN"/>
        </w:rPr>
        <w:t>7</w:t>
      </w:r>
      <w:r>
        <w:rPr>
          <w:rFonts w:hint="eastAsia" w:ascii="仿宋" w:hAnsi="仿宋" w:eastAsia="仿宋"/>
          <w:sz w:val="32"/>
          <w:szCs w:val="32"/>
        </w:rPr>
        <w:t>年12月31日，我部固定资产总额为</w:t>
      </w:r>
      <w:r>
        <w:rPr>
          <w:rFonts w:hint="eastAsia" w:ascii="仿宋" w:hAnsi="仿宋" w:eastAsia="仿宋"/>
          <w:sz w:val="32"/>
          <w:szCs w:val="32"/>
          <w:lang w:val="en-US" w:eastAsia="zh-CN"/>
        </w:rPr>
        <w:t>842.44</w:t>
      </w:r>
      <w:r>
        <w:rPr>
          <w:rFonts w:hint="eastAsia" w:ascii="仿宋" w:hAnsi="仿宋" w:eastAsia="仿宋"/>
          <w:sz w:val="32"/>
          <w:szCs w:val="32"/>
        </w:rPr>
        <w:t>万元（具体情况见下表）。</w:t>
      </w:r>
    </w:p>
    <w:tbl>
      <w:tblPr>
        <w:tblStyle w:val="6"/>
        <w:tblpPr w:leftFromText="180" w:rightFromText="180" w:vertAnchor="text" w:horzAnchor="margin" w:tblpXSpec="center" w:tblpY="441"/>
        <w:tblW w:w="8748" w:type="dxa"/>
        <w:tblInd w:w="0" w:type="dxa"/>
        <w:tblLayout w:type="fixed"/>
        <w:tblCellMar>
          <w:top w:w="0" w:type="dxa"/>
          <w:left w:w="108" w:type="dxa"/>
          <w:bottom w:w="0" w:type="dxa"/>
          <w:right w:w="108" w:type="dxa"/>
        </w:tblCellMar>
      </w:tblPr>
      <w:tblGrid>
        <w:gridCol w:w="4428"/>
        <w:gridCol w:w="2376"/>
        <w:gridCol w:w="1944"/>
      </w:tblGrid>
      <w:tr>
        <w:tblPrEx>
          <w:tblLayout w:type="fixed"/>
          <w:tblCellMar>
            <w:top w:w="0" w:type="dxa"/>
            <w:left w:w="108" w:type="dxa"/>
            <w:bottom w:w="0" w:type="dxa"/>
            <w:right w:w="108" w:type="dxa"/>
          </w:tblCellMar>
        </w:tblPrEx>
        <w:trPr>
          <w:trHeight w:val="595" w:hRule="atLeast"/>
        </w:trPr>
        <w:tc>
          <w:tcPr>
            <w:tcW w:w="8748" w:type="dxa"/>
            <w:gridSpan w:val="3"/>
            <w:shd w:val="clear" w:color="auto" w:fill="auto"/>
            <w:vAlign w:val="bottom"/>
          </w:tcPr>
          <w:p>
            <w:pPr>
              <w:widowControl/>
              <w:spacing w:line="360" w:lineRule="auto"/>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河北省省直部门固定资产占用情况表</w:t>
            </w:r>
          </w:p>
        </w:tc>
      </w:tr>
      <w:tr>
        <w:tblPrEx>
          <w:tblLayout w:type="fixed"/>
          <w:tblCellMar>
            <w:top w:w="0" w:type="dxa"/>
            <w:left w:w="108" w:type="dxa"/>
            <w:bottom w:w="0" w:type="dxa"/>
            <w:right w:w="108" w:type="dxa"/>
          </w:tblCellMar>
        </w:tblPrEx>
        <w:trPr>
          <w:trHeight w:val="441" w:hRule="atLeast"/>
        </w:trPr>
        <w:tc>
          <w:tcPr>
            <w:tcW w:w="4428" w:type="dxa"/>
            <w:tcBorders>
              <w:bottom w:val="single" w:color="000000" w:sz="4" w:space="0"/>
            </w:tcBorders>
            <w:shd w:val="clear" w:color="auto" w:fill="auto"/>
            <w:vAlign w:val="bottom"/>
          </w:tcPr>
          <w:p>
            <w:pPr>
              <w:widowControl/>
              <w:spacing w:line="360" w:lineRule="auto"/>
              <w:jc w:val="left"/>
              <w:rPr>
                <w:rFonts w:ascii="仿宋" w:hAnsi="仿宋" w:eastAsia="仿宋" w:cs="宋体"/>
                <w:color w:val="000000"/>
                <w:kern w:val="0"/>
                <w:sz w:val="32"/>
                <w:szCs w:val="32"/>
              </w:rPr>
            </w:pPr>
          </w:p>
        </w:tc>
        <w:tc>
          <w:tcPr>
            <w:tcW w:w="4320" w:type="dxa"/>
            <w:gridSpan w:val="2"/>
            <w:tcBorders>
              <w:bottom w:val="single" w:color="000000" w:sz="4" w:space="0"/>
            </w:tcBorders>
            <w:shd w:val="clear" w:color="auto" w:fill="auto"/>
            <w:vAlign w:val="bottom"/>
          </w:tcPr>
          <w:p>
            <w:pPr>
              <w:widowControl/>
              <w:spacing w:line="360" w:lineRule="auto"/>
              <w:ind w:firstLine="480" w:firstLineChars="1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截至时间：</w:t>
            </w:r>
            <w:r>
              <w:rPr>
                <w:rFonts w:hint="eastAsia"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color w:val="000000"/>
                <w:kern w:val="0"/>
                <w:sz w:val="32"/>
                <w:szCs w:val="32"/>
              </w:rPr>
              <w:t>年</w:t>
            </w:r>
            <w:r>
              <w:rPr>
                <w:rFonts w:hint="eastAsia" w:ascii="仿宋" w:hAnsi="仿宋" w:eastAsia="仿宋" w:cs="宋体"/>
                <w:kern w:val="0"/>
                <w:sz w:val="32"/>
                <w:szCs w:val="32"/>
              </w:rPr>
              <w:t>12</w:t>
            </w:r>
            <w:r>
              <w:rPr>
                <w:rFonts w:hint="eastAsia" w:ascii="仿宋" w:hAnsi="仿宋" w:eastAsia="仿宋" w:cs="宋体"/>
                <w:color w:val="000000"/>
                <w:kern w:val="0"/>
                <w:sz w:val="32"/>
                <w:szCs w:val="32"/>
              </w:rPr>
              <w:t>月</w:t>
            </w:r>
            <w:r>
              <w:rPr>
                <w:rFonts w:hint="eastAsia" w:ascii="仿宋" w:hAnsi="仿宋" w:eastAsia="仿宋" w:cs="宋体"/>
                <w:kern w:val="0"/>
                <w:sz w:val="32"/>
                <w:szCs w:val="32"/>
              </w:rPr>
              <w:t>31</w:t>
            </w:r>
            <w:r>
              <w:rPr>
                <w:rFonts w:hint="eastAsia" w:ascii="仿宋" w:hAnsi="仿宋" w:eastAsia="仿宋" w:cs="宋体"/>
                <w:color w:val="000000"/>
                <w:kern w:val="0"/>
                <w:sz w:val="32"/>
                <w:szCs w:val="32"/>
              </w:rPr>
              <w:t>日</w:t>
            </w:r>
          </w:p>
        </w:tc>
      </w:tr>
      <w:tr>
        <w:tblPrEx>
          <w:tblLayout w:type="fixed"/>
          <w:tblCellMar>
            <w:top w:w="0" w:type="dxa"/>
            <w:left w:w="108" w:type="dxa"/>
            <w:bottom w:w="0" w:type="dxa"/>
            <w:right w:w="108" w:type="dxa"/>
          </w:tblCellMar>
        </w:tblPrEx>
        <w:trPr>
          <w:trHeight w:val="623" w:hRule="atLeast"/>
        </w:trPr>
        <w:tc>
          <w:tcPr>
            <w:tcW w:w="4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项　　目</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数量</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金额（万元）</w:t>
            </w:r>
          </w:p>
        </w:tc>
      </w:tr>
      <w:tr>
        <w:tblPrEx>
          <w:tblLayout w:type="fixed"/>
          <w:tblCellMar>
            <w:top w:w="0" w:type="dxa"/>
            <w:left w:w="108" w:type="dxa"/>
            <w:bottom w:w="0" w:type="dxa"/>
            <w:right w:w="108" w:type="dxa"/>
          </w:tblCellMar>
        </w:tblPrEx>
        <w:trPr>
          <w:trHeight w:val="623" w:hRule="atLeast"/>
        </w:trPr>
        <w:tc>
          <w:tcPr>
            <w:tcW w:w="4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资产总额</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p>
        </w:tc>
        <w:tc>
          <w:tcPr>
            <w:tcW w:w="1944"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842.44</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一、房屋（平方米）</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p>
        </w:tc>
        <w:tc>
          <w:tcPr>
            <w:tcW w:w="1944"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其中：办公用房</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p>
        </w:tc>
        <w:tc>
          <w:tcPr>
            <w:tcW w:w="1944"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二、汽车（台、辆）</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10</w:t>
            </w:r>
          </w:p>
        </w:tc>
        <w:tc>
          <w:tcPr>
            <w:tcW w:w="1944"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204.81</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三、单价在20万元以上的设备（台、套…）</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944"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四、其他固定资产</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p>
        </w:tc>
        <w:tc>
          <w:tcPr>
            <w:tcW w:w="1944"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righ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637.63</w:t>
            </w:r>
          </w:p>
        </w:tc>
      </w:tr>
    </w:tbl>
    <w:p>
      <w:pPr>
        <w:rPr>
          <w:rFonts w:hint="eastAsia" w:ascii="仿宋" w:hAnsi="仿宋" w:eastAsia="仿宋"/>
          <w:sz w:val="32"/>
          <w:szCs w:val="32"/>
        </w:rPr>
      </w:pPr>
      <w:r>
        <w:rPr>
          <w:rFonts w:hint="eastAsia" w:ascii="仿宋" w:hAnsi="仿宋" w:eastAsia="仿宋"/>
          <w:sz w:val="32"/>
          <w:szCs w:val="32"/>
        </w:rPr>
        <w:t>2、201</w:t>
      </w:r>
      <w:r>
        <w:rPr>
          <w:rFonts w:hint="eastAsia" w:ascii="仿宋" w:hAnsi="仿宋" w:eastAsia="仿宋"/>
          <w:sz w:val="32"/>
          <w:szCs w:val="32"/>
          <w:lang w:val="en-US" w:eastAsia="zh-CN"/>
        </w:rPr>
        <w:t>8</w:t>
      </w:r>
      <w:r>
        <w:rPr>
          <w:rFonts w:hint="eastAsia" w:ascii="仿宋" w:hAnsi="仿宋" w:eastAsia="仿宋"/>
          <w:sz w:val="32"/>
          <w:szCs w:val="32"/>
        </w:rPr>
        <w:t>年，拟购置的国有资产总额为0.6万元，为</w:t>
      </w:r>
      <w:r>
        <w:rPr>
          <w:rFonts w:hint="eastAsia" w:ascii="仿宋" w:hAnsi="仿宋" w:eastAsia="仿宋"/>
          <w:sz w:val="32"/>
          <w:szCs w:val="32"/>
          <w:lang w:val="en-US" w:eastAsia="zh-CN"/>
        </w:rPr>
        <w:t>A3打印机</w:t>
      </w:r>
      <w:r>
        <w:rPr>
          <w:rFonts w:hint="eastAsia" w:ascii="仿宋" w:hAnsi="仿宋" w:eastAsia="仿宋"/>
          <w:sz w:val="32"/>
          <w:szCs w:val="32"/>
        </w:rPr>
        <w:t>已列入201</w:t>
      </w:r>
      <w:r>
        <w:rPr>
          <w:rFonts w:hint="eastAsia" w:ascii="仿宋" w:hAnsi="仿宋" w:eastAsia="仿宋"/>
          <w:sz w:val="32"/>
          <w:szCs w:val="32"/>
          <w:lang w:val="en-US" w:eastAsia="zh-CN"/>
        </w:rPr>
        <w:t>8</w:t>
      </w:r>
      <w:r>
        <w:rPr>
          <w:rFonts w:hint="eastAsia" w:ascii="仿宋" w:hAnsi="仿宋" w:eastAsia="仿宋"/>
          <w:sz w:val="32"/>
          <w:szCs w:val="32"/>
        </w:rPr>
        <w:t>年政府采购预算（具体情况见部门政府采购预算表）。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八、专业名词解释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1、基本支出：指为保障机构正常运转、完成日常工作任务而发生的人员支出和公用支出。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2、项目支出：指在基本支出之外为完成特定行政任务和事业发展目标所发生的支出。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3、“三公”经费：纳入省级财政预算管理的“三公”经费，是指市级部门用财政拨款安排的因公国（境）费、公务用车购置及运行费和公务接待费。其中，因公出国（境）费反映单位公务出国（境）</w:t>
      </w:r>
      <w:r>
        <w:rPr>
          <w:rFonts w:hint="eastAsia" w:ascii="仿宋" w:hAnsi="仿宋" w:eastAsia="仿宋"/>
          <w:sz w:val="32"/>
          <w:szCs w:val="32"/>
          <w:lang w:eastAsia="zh-CN"/>
        </w:rPr>
        <w:t>费、</w:t>
      </w:r>
      <w:r>
        <w:rPr>
          <w:rFonts w:hint="eastAsia" w:ascii="仿宋" w:hAnsi="仿宋" w:eastAsia="仿宋"/>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九、其他需说明的事项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我部无国有资本经营预算财政拨款收支，因此相关表格数据为零。</w:t>
      </w:r>
    </w:p>
    <w:p>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Franklin Gothic Medium">
    <w:panose1 w:val="020B0603020102020204"/>
    <w:charset w:val="00"/>
    <w:family w:val="auto"/>
    <w:pitch w:val="default"/>
    <w:sig w:usb0="00000287" w:usb1="00000000" w:usb2="00000000" w:usb3="00000000" w:csb0="2000009F" w:csb1="DFD7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495A"/>
    <w:multiLevelType w:val="multilevel"/>
    <w:tmpl w:val="4EDA495A"/>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9933842"/>
    <w:multiLevelType w:val="multilevel"/>
    <w:tmpl w:val="59933842"/>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F7B8B"/>
    <w:rsid w:val="0F955BB6"/>
    <w:rsid w:val="1C5D36B4"/>
    <w:rsid w:val="1DA412B7"/>
    <w:rsid w:val="2FB04C7C"/>
    <w:rsid w:val="36005C92"/>
    <w:rsid w:val="3BDE1808"/>
    <w:rsid w:val="4D71591B"/>
    <w:rsid w:val="4F893EC5"/>
    <w:rsid w:val="54D63CC8"/>
    <w:rsid w:val="5E8C17DE"/>
    <w:rsid w:val="649711CC"/>
    <w:rsid w:val="78DB1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2018-03-26T08:30:01Z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