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both"/>
        <w:rPr>
          <w:rFonts w:ascii="宋体" w:hAnsi="宋体"/>
          <w:b/>
          <w:color w:val="000000"/>
          <w:sz w:val="44"/>
          <w:szCs w:val="44"/>
        </w:rPr>
      </w:pPr>
      <w:r>
        <w:rPr>
          <w:rFonts w:hint="eastAsia" w:ascii="宋体" w:hAnsi="宋体"/>
          <w:b/>
          <w:color w:val="000000"/>
          <w:sz w:val="44"/>
          <w:szCs w:val="44"/>
          <w:lang w:eastAsia="zh-CN"/>
        </w:rPr>
        <w:t>　　　　</w:t>
      </w:r>
      <w:r>
        <w:rPr>
          <w:rFonts w:hint="eastAsia" w:ascii="宋体" w:hAnsi="宋体"/>
          <w:b/>
          <w:color w:val="000000"/>
          <w:sz w:val="44"/>
          <w:szCs w:val="44"/>
        </w:rPr>
        <w:t>唐山市</w:t>
      </w:r>
      <w:r>
        <w:rPr>
          <w:rFonts w:hint="eastAsia" w:ascii="宋体" w:hAnsi="宋体"/>
          <w:b/>
          <w:color w:val="000000"/>
          <w:sz w:val="44"/>
          <w:szCs w:val="44"/>
          <w:lang w:eastAsia="zh-CN"/>
        </w:rPr>
        <w:t>人大常委会办公厅</w:t>
      </w:r>
      <w:r>
        <w:rPr>
          <w:rFonts w:hint="eastAsia" w:ascii="宋体" w:hAnsi="宋体"/>
          <w:b/>
          <w:color w:val="000000"/>
          <w:sz w:val="44"/>
          <w:szCs w:val="44"/>
        </w:rPr>
        <w:t>201</w:t>
      </w:r>
      <w:r>
        <w:rPr>
          <w:rFonts w:hint="eastAsia" w:ascii="宋体" w:hAnsi="宋体"/>
          <w:b/>
          <w:color w:val="000000"/>
          <w:sz w:val="44"/>
          <w:szCs w:val="44"/>
          <w:lang w:val="en-US" w:eastAsia="zh-CN"/>
        </w:rPr>
        <w:t>8</w:t>
      </w:r>
      <w:r>
        <w:rPr>
          <w:rFonts w:hint="eastAsia" w:ascii="宋体" w:hAnsi="宋体"/>
          <w:b/>
          <w:color w:val="000000"/>
          <w:sz w:val="44"/>
          <w:szCs w:val="44"/>
        </w:rPr>
        <w:t>年部门预算</w:t>
      </w:r>
      <w:r>
        <w:rPr>
          <w:rFonts w:hint="eastAsia" w:ascii="宋体" w:hAnsi="宋体"/>
          <w:b/>
          <w:color w:val="000000"/>
          <w:sz w:val="44"/>
          <w:szCs w:val="44"/>
          <w:lang w:eastAsia="zh-CN"/>
        </w:rPr>
        <w:t>公开信息</w:t>
      </w: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河北省预决算公开操作规程实施细则</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，现将201</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numPr>
          <w:numId w:val="0"/>
        </w:numPr>
        <w:rPr>
          <w:rFonts w:hint="eastAsia" w:ascii="仿宋_GB2312" w:hAnsi="仿宋_GB2312" w:eastAsia="仿宋_GB2312" w:cs="仿宋_GB2312"/>
          <w:sz w:val="32"/>
          <w:szCs w:val="32"/>
          <w:lang w:eastAsia="zh-CN"/>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_GB2312" w:hAnsi="仿宋_GB2312" w:eastAsia="仿宋_GB2312" w:cs="仿宋_GB2312"/>
          <w:sz w:val="32"/>
          <w:szCs w:val="32"/>
          <w:lang w:eastAsia="zh-CN"/>
        </w:rPr>
        <w:t>唐山市人民代表大会常务委员会是唐山市人民代表大会的常设机关。常务委员会对唐山市人民代表大会负责并报告工作。常务委员会由主任、副主任若干人，秘书长、委员若干人组成。</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依照宪法和地方组织法的规定，唐山市人民代表大会常务委员会行使下列职权：在唐山市人民代表大会闭会期间，根据本行政区域的具体情况和实际需要，在不同宪法、法律和行政法规相抵触的前提下，制定和颁布地方性法规。审议决定唐山市政治、经济、科学、教育、文化、卫生、环境与资源保护、民政、民族等工作的重大事项以及人民群众普遍关注和迫切要求解决的重大问题；在唐山市人民代表大会闭会期间，审查和批准国民经济和社会发展计划、预算在执行过程中所必须作的部分调整方案。监督唐山市人民政府、唐山市人民法院和唐山市人民检察院的工作。撤销唐山市人民政府制定的同宪法、法律、法规相抵触的行政法规、决定和命令；撤销下一级国家权力机关制定的同宪法、法律和行政法规相抵触的规范性文件。在唐山市人民代表大会闭会期间，根据唐山市人民政府市长的提名，决定唐山市人民政府局长、委员会主任、秘书长的人选；根据唐山市人民法院院长的提请，任免唐山市人民法院副院长、庭长、审判委员会委员、审判员；根据唐山市人民检察院检察长的提请，任免唐山市人民检察院副检察长、检察委员会委员、检察员，批准所辖县市区人民检察院检察长的任免。审议决定常务委员会认为应当依法审议、决定的其他重大事项。常务委员会组成人员五人以上联名，可以向常务委员会提出属于常务委员会职权范围内的议案，由主任会议决定是否提请常务委员会会议审议，或者先交有关的专门委员会以及工作委员会审议、提出报告，再决定是否提请主任会议审议。</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唐山市人民代表大会常务委员会根据工作需要，设有办公厅、研究室、选举任免代表工作委员会、法制工作委员会、内务司法工作委员会、财政经济工作委员会、农村和农业工作委员会、城建和环资工作委员会、教育科学文化卫生工作委员会、民族侨务外事工作委员会等办事机构和工作机构。</w:t>
      </w:r>
    </w:p>
    <w:p>
      <w:pPr>
        <w:ind w:firstLine="640" w:firstLineChars="200"/>
        <w:rPr>
          <w:rFonts w:ascii="Times New Roman" w:hAnsi="Times New Roman" w:eastAsia="方正仿宋_GBK" w:cs="Times New Roman"/>
          <w:b/>
          <w:sz w:val="32"/>
          <w:szCs w:val="32"/>
        </w:rPr>
      </w:pPr>
    </w:p>
    <w:p>
      <w:pPr>
        <w:ind w:firstLine="640" w:firstLineChars="200"/>
        <w:rPr>
          <w:rFonts w:ascii="Times New Roman" w:hAnsi="Times New Roman" w:eastAsia="方正仿宋_GBK" w:cs="Times New Roman"/>
          <w:b/>
          <w:sz w:val="32"/>
          <w:szCs w:val="32"/>
        </w:rPr>
      </w:pPr>
    </w:p>
    <w:p>
      <w:pPr>
        <w:autoSpaceDE w:val="0"/>
        <w:autoSpaceDN w:val="0"/>
        <w:adjustRightInd w:val="0"/>
        <w:ind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hint="eastAsia"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543"/>
        <w:gridCol w:w="3543"/>
        <w:gridCol w:w="3544"/>
        <w:gridCol w:w="3544"/>
      </w:tblGrid>
      <w:tr>
        <w:tc>
          <w:tcPr>
            <w:tcW w:w="3543"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单位名称</w:t>
            </w:r>
          </w:p>
        </w:tc>
        <w:tc>
          <w:tcPr>
            <w:tcW w:w="3543"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单位性质</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单位规格</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经费保障形式</w:t>
            </w:r>
          </w:p>
        </w:tc>
      </w:tr>
      <w:tr>
        <w:tc>
          <w:tcPr>
            <w:tcW w:w="3543"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唐山市人大常委会办公厅</w:t>
            </w:r>
          </w:p>
        </w:tc>
        <w:tc>
          <w:tcPr>
            <w:tcW w:w="3543" w:type="dxa"/>
            <w:textDirection w:val="lrTb"/>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正处级</w:t>
            </w:r>
          </w:p>
        </w:tc>
        <w:tc>
          <w:tcPr>
            <w:tcW w:w="3544" w:type="dxa"/>
            <w:vAlign w:val="top"/>
          </w:tcPr>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r>
      <w:tr>
        <w:tc>
          <w:tcPr>
            <w:tcW w:w="3543"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唐山市人大代表联络中心</w:t>
            </w:r>
          </w:p>
        </w:tc>
        <w:tc>
          <w:tcPr>
            <w:tcW w:w="3543" w:type="dxa"/>
            <w:textDirection w:val="lrTb"/>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w:t>
            </w:r>
          </w:p>
        </w:tc>
        <w:tc>
          <w:tcPr>
            <w:tcW w:w="3544" w:type="dxa"/>
            <w:vAlign w:val="top"/>
          </w:tcPr>
          <w:p>
            <w:pPr>
              <w:jc w:val="center"/>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正科级</w:t>
            </w:r>
          </w:p>
        </w:tc>
        <w:tc>
          <w:tcPr>
            <w:tcW w:w="3544" w:type="dxa"/>
            <w:textDirection w:val="lrTb"/>
            <w:vAlign w:val="top"/>
          </w:tcPr>
          <w:p>
            <w:pPr>
              <w:spacing w:line="3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财政性资金基本保证</w:t>
            </w:r>
          </w:p>
        </w:tc>
      </w:tr>
    </w:tbl>
    <w:p>
      <w:pPr>
        <w:jc w:val="center"/>
        <w:outlineLvl w:val="0"/>
        <w:rPr>
          <w:rFonts w:hint="eastAsia" w:ascii="仿宋_GB2312" w:hAnsi="仿宋_GB2312" w:eastAsia="仿宋_GB2312" w:cs="仿宋_GB2312"/>
          <w:sz w:val="32"/>
          <w:szCs w:val="32"/>
        </w:rPr>
      </w:pPr>
    </w:p>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本部门当年全部收入，2018年</w:t>
      </w:r>
      <w:r>
        <w:rPr>
          <w:rFonts w:hint="eastAsia" w:ascii="仿宋" w:hAnsi="仿宋" w:eastAsia="仿宋" w:cs="仿宋"/>
          <w:sz w:val="32"/>
          <w:szCs w:val="32"/>
          <w:lang w:eastAsia="zh-CN"/>
        </w:rPr>
        <w:t>预算收入</w:t>
      </w:r>
      <w:r>
        <w:rPr>
          <w:rFonts w:hint="eastAsia" w:ascii="仿宋" w:hAnsi="仿宋" w:eastAsia="仿宋" w:cs="仿宋"/>
          <w:kern w:val="0"/>
          <w:sz w:val="32"/>
          <w:szCs w:val="32"/>
          <w:lang w:val="en-US" w:eastAsia="zh-CN"/>
        </w:rPr>
        <w:t>2530.43</w:t>
      </w:r>
      <w:r>
        <w:rPr>
          <w:rFonts w:hint="eastAsia" w:ascii="仿宋" w:hAnsi="仿宋" w:eastAsia="仿宋" w:cs="仿宋"/>
          <w:sz w:val="32"/>
          <w:szCs w:val="32"/>
        </w:rPr>
        <w:t>万</w:t>
      </w:r>
      <w:r>
        <w:rPr>
          <w:rFonts w:hint="eastAsia" w:ascii="仿宋" w:hAnsi="仿宋" w:eastAsia="仿宋" w:cs="仿宋"/>
          <w:sz w:val="32"/>
          <w:szCs w:val="32"/>
          <w:lang w:eastAsia="zh-CN"/>
        </w:rPr>
        <w:t>，</w:t>
      </w:r>
      <w:r>
        <w:rPr>
          <w:rFonts w:hint="eastAsia" w:ascii="仿宋" w:hAnsi="仿宋" w:eastAsia="仿宋" w:cs="仿宋"/>
          <w:sz w:val="32"/>
          <w:szCs w:val="32"/>
        </w:rPr>
        <w:t>全部为一般公共预算收入。</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 w:hAnsi="仿宋" w:eastAsia="仿宋" w:cs="仿宋"/>
          <w:sz w:val="32"/>
          <w:szCs w:val="32"/>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收支预算总表支出栏、基本支出表、项目支出表按经济分类和支出功能分类科目编制，反映唐</w:t>
      </w:r>
      <w:r>
        <w:rPr>
          <w:rFonts w:hint="eastAsia" w:ascii="仿宋" w:hAnsi="仿宋" w:eastAsia="仿宋" w:cs="仿宋"/>
          <w:sz w:val="32"/>
          <w:szCs w:val="32"/>
          <w:lang w:val="en-US" w:eastAsia="zh-CN"/>
        </w:rPr>
        <w:t>山市人民代表大会常务委员会办公厅年度部门预算中支出预算的总体情况。</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eastAsia="zh-CN"/>
        </w:rPr>
        <w:t>部门支出</w:t>
      </w:r>
      <w:r>
        <w:rPr>
          <w:rFonts w:hint="eastAsia" w:ascii="仿宋" w:hAnsi="仿宋" w:eastAsia="仿宋" w:cs="仿宋"/>
          <w:sz w:val="32"/>
          <w:szCs w:val="32"/>
        </w:rPr>
        <w:t>预算为</w:t>
      </w:r>
      <w:r>
        <w:rPr>
          <w:rFonts w:hint="eastAsia" w:ascii="仿宋" w:hAnsi="仿宋" w:eastAsia="仿宋" w:cs="仿宋"/>
          <w:kern w:val="0"/>
          <w:sz w:val="32"/>
          <w:szCs w:val="32"/>
          <w:lang w:val="en-US" w:eastAsia="zh-CN"/>
        </w:rPr>
        <w:t>2530.43</w:t>
      </w:r>
      <w:r>
        <w:rPr>
          <w:rFonts w:hint="eastAsia" w:ascii="仿宋" w:hAnsi="仿宋" w:eastAsia="仿宋" w:cs="仿宋"/>
          <w:sz w:val="32"/>
          <w:szCs w:val="32"/>
        </w:rPr>
        <w:t>万元，</w:t>
      </w:r>
      <w:r>
        <w:rPr>
          <w:rFonts w:hint="eastAsia" w:ascii="仿宋" w:hAnsi="仿宋" w:eastAsia="仿宋" w:cs="仿宋"/>
          <w:sz w:val="32"/>
          <w:szCs w:val="32"/>
          <w:lang w:eastAsia="zh-CN"/>
        </w:rPr>
        <w:t>其中基本</w:t>
      </w:r>
      <w:r>
        <w:rPr>
          <w:rFonts w:hint="eastAsia" w:ascii="仿宋" w:hAnsi="仿宋" w:eastAsia="仿宋" w:cs="仿宋"/>
          <w:sz w:val="32"/>
          <w:szCs w:val="32"/>
        </w:rPr>
        <w:t>支出</w:t>
      </w:r>
      <w:r>
        <w:rPr>
          <w:rFonts w:hint="eastAsia" w:ascii="仿宋" w:hAnsi="仿宋" w:eastAsia="仿宋" w:cs="仿宋"/>
          <w:color w:val="000000"/>
          <w:kern w:val="0"/>
          <w:sz w:val="32"/>
          <w:szCs w:val="32"/>
          <w:lang w:val="en-US" w:eastAsia="zh-CN"/>
        </w:rPr>
        <w:t>2270.43</w:t>
      </w:r>
      <w:r>
        <w:rPr>
          <w:rFonts w:hint="eastAsia" w:ascii="仿宋" w:hAnsi="仿宋" w:eastAsia="仿宋" w:cs="仿宋"/>
          <w:sz w:val="32"/>
          <w:szCs w:val="32"/>
        </w:rPr>
        <w:t>万元，</w:t>
      </w:r>
      <w:r>
        <w:rPr>
          <w:rFonts w:hint="eastAsia" w:ascii="仿宋" w:hAnsi="仿宋" w:eastAsia="仿宋" w:cs="仿宋"/>
          <w:sz w:val="32"/>
          <w:szCs w:val="32"/>
          <w:lang w:eastAsia="zh-CN"/>
        </w:rPr>
        <w:t>包括人员经费</w:t>
      </w:r>
      <w:r>
        <w:rPr>
          <w:rFonts w:hint="eastAsia" w:ascii="仿宋" w:hAnsi="仿宋" w:eastAsia="仿宋" w:cs="仿宋"/>
          <w:color w:val="000000"/>
          <w:kern w:val="0"/>
          <w:sz w:val="32"/>
          <w:szCs w:val="32"/>
          <w:lang w:val="en-US" w:eastAsia="zh-CN"/>
        </w:rPr>
        <w:t>1399.97</w:t>
      </w:r>
      <w:r>
        <w:rPr>
          <w:rFonts w:hint="eastAsia" w:ascii="仿宋" w:hAnsi="仿宋" w:eastAsia="仿宋" w:cs="仿宋"/>
          <w:sz w:val="32"/>
          <w:szCs w:val="32"/>
          <w:lang w:val="en-US" w:eastAsia="zh-CN"/>
        </w:rPr>
        <w:t>万元和</w:t>
      </w:r>
      <w:r>
        <w:rPr>
          <w:rFonts w:hint="eastAsia" w:ascii="仿宋" w:hAnsi="仿宋" w:eastAsia="仿宋" w:cs="仿宋"/>
          <w:sz w:val="32"/>
          <w:szCs w:val="32"/>
        </w:rPr>
        <w:t>公用经费</w:t>
      </w:r>
      <w:r>
        <w:rPr>
          <w:rFonts w:hint="eastAsia" w:ascii="仿宋" w:hAnsi="仿宋" w:eastAsia="仿宋" w:cs="仿宋"/>
          <w:color w:val="000000"/>
          <w:kern w:val="0"/>
          <w:sz w:val="32"/>
          <w:szCs w:val="32"/>
          <w:lang w:val="en-US" w:eastAsia="zh-CN"/>
        </w:rPr>
        <w:t>870.46</w:t>
      </w:r>
      <w:r>
        <w:rPr>
          <w:rFonts w:hint="eastAsia" w:ascii="仿宋" w:hAnsi="仿宋" w:eastAsia="仿宋" w:cs="仿宋"/>
          <w:sz w:val="32"/>
          <w:szCs w:val="32"/>
          <w:lang w:val="en-US" w:eastAsia="zh-CN"/>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260万元，全部为本级支出。</w:t>
      </w:r>
    </w:p>
    <w:p>
      <w:pPr>
        <w:numPr>
          <w:ilvl w:val="0"/>
          <w:numId w:val="1"/>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numPr>
          <w:numId w:val="0"/>
        </w:numPr>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2018年部门预算较2017年增长53.32万元，其中：基本支出增长53.32万元，主要是增加人员经费；项目支出与上年持平。</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 xml:space="preserve"> 870.46</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保证机关正常运转的办公及印刷费、邮电费、差旅费、培训费、会议费、福利费、一般设备购置费、日常维修费、办公楼物业管理费、公务车运行维护费等支出</w:t>
      </w:r>
      <w:r>
        <w:rPr>
          <w:rFonts w:hint="eastAsia" w:ascii="仿宋_GB2312" w:hAnsi="仿宋_GB2312" w:eastAsia="仿宋_GB2312" w:cs="仿宋_GB2312"/>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年，财政拨款“三公”经费预算安排</w:t>
      </w:r>
      <w:r>
        <w:rPr>
          <w:rFonts w:hint="eastAsia" w:ascii="仿宋_GB2312" w:hAnsi="仿宋_GB2312" w:eastAsia="仿宋_GB2312" w:cs="仿宋_GB2312"/>
          <w:sz w:val="32"/>
          <w:szCs w:val="32"/>
          <w:lang w:val="en-US" w:eastAsia="zh-CN"/>
        </w:rPr>
        <w:t>46.84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lang w:val="en-US" w:eastAsia="zh-CN"/>
        </w:rPr>
        <w:t>2017年减少99.09万元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；公务用车购置及运维费</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公务用车购置费为</w:t>
      </w:r>
      <w:r>
        <w:rPr>
          <w:rFonts w:hint="eastAsia" w:ascii="仿宋_GB2312" w:hAnsi="仿宋_GB2312" w:eastAsia="仿宋_GB2312" w:cs="仿宋_GB2312"/>
          <w:sz w:val="32"/>
          <w:szCs w:val="32"/>
          <w:lang w:val="en-US" w:eastAsia="zh-CN"/>
        </w:rPr>
        <w:t>0元与上年持平；</w:t>
      </w:r>
      <w:r>
        <w:rPr>
          <w:rFonts w:hint="eastAsia" w:ascii="仿宋_GB2312" w:hAnsi="仿宋_GB2312" w:eastAsia="仿宋_GB2312" w:cs="仿宋_GB2312"/>
          <w:sz w:val="32"/>
          <w:szCs w:val="32"/>
        </w:rPr>
        <w:t>公务用车运行费</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2.84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(未包含财政预留资金）</w:t>
      </w:r>
      <w:r>
        <w:rPr>
          <w:rFonts w:hint="eastAsia" w:ascii="仿宋_GB2312" w:hAnsi="仿宋_GB2312" w:eastAsia="仿宋_GB2312" w:cs="仿宋_GB2312"/>
          <w:sz w:val="32"/>
          <w:szCs w:val="32"/>
          <w:lang w:eastAsia="zh-CN"/>
        </w:rPr>
        <w:t>比上年减少</w:t>
      </w:r>
      <w:r>
        <w:rPr>
          <w:rFonts w:hint="eastAsia" w:ascii="仿宋_GB2312" w:hAnsi="仿宋_GB2312" w:eastAsia="仿宋_GB2312" w:cs="仿宋_GB2312"/>
          <w:sz w:val="32"/>
          <w:szCs w:val="32"/>
          <w:lang w:val="en-US" w:eastAsia="zh-CN"/>
        </w:rPr>
        <w:t>99.09万元</w:t>
      </w:r>
      <w:r>
        <w:rPr>
          <w:rFonts w:hint="eastAsia" w:ascii="仿宋_GB2312" w:hAnsi="仿宋_GB2312" w:eastAsia="仿宋_GB2312" w:cs="仿宋_GB2312"/>
          <w:sz w:val="32"/>
          <w:szCs w:val="32"/>
          <w:lang w:eastAsia="zh-CN"/>
        </w:rPr>
        <w:t>，减少原因全面贯彻落实中央八项规定精神，厉行节约，反对浪费，严格执行公务接待标准，严控接待范围、接待对象</w:t>
      </w:r>
      <w:r>
        <w:rPr>
          <w:rFonts w:hint="eastAsia" w:ascii="仿宋_GB2312" w:hAnsi="仿宋_GB2312" w:eastAsia="仿宋_GB2312" w:cs="仿宋_GB2312"/>
          <w:sz w:val="32"/>
          <w:szCs w:val="32"/>
        </w:rPr>
        <w:t>。</w:t>
      </w:r>
    </w:p>
    <w:p>
      <w:pPr>
        <w:autoSpaceDE w:val="0"/>
        <w:autoSpaceDN w:val="0"/>
        <w:adjustRightInd w:val="0"/>
        <w:ind w:left="198" w:firstLine="640" w:firstLineChars="200"/>
        <w:jc w:val="left"/>
        <w:rPr>
          <w:rFonts w:hint="eastAsia" w:ascii="仿宋" w:hAnsi="仿宋" w:eastAsia="仿宋" w:cs="仿宋"/>
          <w:sz w:val="32"/>
          <w:szCs w:val="32"/>
        </w:rPr>
      </w:pPr>
      <w:r>
        <w:rPr>
          <w:rFonts w:hint="eastAsia" w:ascii="仿宋" w:hAnsi="仿宋" w:eastAsia="仿宋" w:cs="仿宋"/>
          <w:sz w:val="32"/>
          <w:szCs w:val="32"/>
        </w:rPr>
        <w:t>五、绩效预算信息</w:t>
      </w:r>
    </w:p>
    <w:p>
      <w:pPr>
        <w:ind w:firstLine="640" w:firstLineChars="200"/>
        <w:jc w:val="left"/>
        <w:rPr>
          <w:rFonts w:hint="eastAsia" w:ascii="仿宋" w:hAnsi="仿宋" w:eastAsia="仿宋" w:cs="仿宋"/>
          <w:b/>
          <w:sz w:val="32"/>
          <w:szCs w:val="32"/>
        </w:rPr>
      </w:pPr>
      <w:r>
        <w:rPr>
          <w:rFonts w:hint="eastAsia" w:ascii="仿宋" w:hAnsi="仿宋" w:eastAsia="仿宋" w:cs="仿宋"/>
          <w:b/>
          <w:sz w:val="32"/>
          <w:szCs w:val="32"/>
        </w:rPr>
        <w:t>总体绩效目标：</w:t>
      </w:r>
    </w:p>
    <w:p>
      <w:pPr>
        <w:snapToGrid w:val="0"/>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今年工作的总体要求是，在市委坚强领导下，以习近平新时代中国特色社会主义思想和十九大精神为指引，以所做工作符合党中央和省市委决策、符合宪法法律规定、符合唐山百姓期盼为总原则，贯彻落实市委十届四次全会决策部署和省委常委、市委书记王浩同志对人大工作的新希望、新要求，切实加强和改进人大工作，努力成为全面担负起宪法法律赋予的各项职责的工作机关，成为同人民群众保持密切联系的代表机关，在新时代唐山高质量发展中锐意进取、实干实政、彰显作为。</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是着力推进立法工作，以良法促发展保善治。主要有，抓好重点立法项目。审议通过房地产交易管理、畜禽屠宰管理、旅游业促进、文明行为促进4个条例。针对城市供水管理、机动车公共停车场所管理、食品安全监督管理、生态环境保护、港口建设管理开展重点调研。完善立法机制。</w:t>
      </w:r>
      <w:r>
        <w:rPr>
          <w:rFonts w:hint="eastAsia" w:ascii="仿宋" w:hAnsi="仿宋" w:eastAsia="仿宋" w:cs="仿宋"/>
          <w:sz w:val="32"/>
          <w:szCs w:val="32"/>
        </w:rPr>
        <w:t>加强立法专家顾问库、基层立法联系点建设，探索建立委托第三方起草法规草案和举办立法听证会等工作机制。</w:t>
      </w:r>
      <w:r>
        <w:rPr>
          <w:rFonts w:hint="eastAsia" w:ascii="仿宋" w:hAnsi="仿宋" w:eastAsia="仿宋" w:cs="仿宋"/>
          <w:snapToGrid w:val="0"/>
          <w:kern w:val="0"/>
          <w:sz w:val="32"/>
          <w:szCs w:val="32"/>
        </w:rPr>
        <w:t>健全完善法规常态化清理机制。加强对政府规章等规范性文件的备案审查。强化法规宣传。</w:t>
      </w:r>
      <w:r>
        <w:rPr>
          <w:rFonts w:hint="eastAsia" w:ascii="仿宋" w:hAnsi="仿宋" w:eastAsia="仿宋" w:cs="仿宋"/>
          <w:sz w:val="32"/>
          <w:szCs w:val="32"/>
        </w:rPr>
        <w:t>组织动员社会各界力量，结合落实“七五”普法规划，持续加强宪法法律的宣传、解读、普及。出台实施方案，组织开展我市地方法规集中宣传活动</w:t>
      </w:r>
      <w:r>
        <w:rPr>
          <w:rFonts w:hint="eastAsia" w:ascii="仿宋" w:hAnsi="仿宋" w:eastAsia="仿宋" w:cs="仿宋"/>
          <w:snapToGrid w:val="0"/>
          <w:kern w:val="0"/>
          <w:sz w:val="32"/>
          <w:szCs w:val="32"/>
        </w:rPr>
        <w:t>。</w:t>
      </w:r>
    </w:p>
    <w:p>
      <w:pPr>
        <w:snapToGrid w:val="0"/>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二是着力加强改进监督工作，促发展惠民生。</w:t>
      </w:r>
      <w:r>
        <w:rPr>
          <w:rFonts w:hint="eastAsia" w:ascii="仿宋" w:hAnsi="仿宋" w:eastAsia="仿宋" w:cs="仿宋"/>
          <w:snapToGrid w:val="0"/>
          <w:kern w:val="0"/>
          <w:sz w:val="32"/>
          <w:szCs w:val="32"/>
        </w:rPr>
        <w:t>主要有，加强市重点工作视察调研。</w:t>
      </w:r>
      <w:r>
        <w:rPr>
          <w:rFonts w:hint="eastAsia" w:ascii="仿宋" w:hAnsi="仿宋" w:eastAsia="仿宋" w:cs="仿宋"/>
          <w:sz w:val="32"/>
          <w:szCs w:val="32"/>
        </w:rPr>
        <w:t>围绕我市建设生态唐山实现绿色发展、“一港双城”（城镇化）建设、环渤海</w:t>
      </w:r>
      <w:r>
        <w:rPr>
          <w:rFonts w:hint="eastAsia" w:ascii="仿宋" w:hAnsi="仿宋" w:eastAsia="仿宋" w:cs="仿宋"/>
          <w:snapToGrid w:val="0"/>
          <w:kern w:val="0"/>
          <w:sz w:val="32"/>
          <w:szCs w:val="32"/>
        </w:rPr>
        <w:t>地区新型工业化基地建设、科技创新与新兴产业发展、重大项目推进5项重点工作，组织开展视察调研</w:t>
      </w:r>
      <w:r>
        <w:rPr>
          <w:rFonts w:hint="eastAsia" w:ascii="仿宋" w:hAnsi="仿宋" w:eastAsia="仿宋" w:cs="仿宋"/>
          <w:sz w:val="32"/>
          <w:szCs w:val="32"/>
        </w:rPr>
        <w:t>。</w:t>
      </w:r>
      <w:r>
        <w:rPr>
          <w:rFonts w:hint="eastAsia" w:ascii="仿宋" w:hAnsi="仿宋" w:eastAsia="仿宋" w:cs="仿宋"/>
          <w:snapToGrid w:val="0"/>
          <w:kern w:val="0"/>
          <w:sz w:val="32"/>
          <w:szCs w:val="32"/>
        </w:rPr>
        <w:t>加强经济工作监督</w:t>
      </w:r>
      <w:r>
        <w:rPr>
          <w:rFonts w:hint="eastAsia" w:ascii="仿宋" w:hAnsi="仿宋" w:eastAsia="仿宋" w:cs="仿宋"/>
          <w:sz w:val="32"/>
          <w:szCs w:val="32"/>
        </w:rPr>
        <w:t>。督促和支持政府坚持稳中求进工作总基调，努力实现高质量高效益发展，</w:t>
      </w:r>
      <w:r>
        <w:rPr>
          <w:rFonts w:hint="eastAsia" w:ascii="仿宋" w:hAnsi="仿宋" w:eastAsia="仿宋" w:cs="仿宋"/>
          <w:bCs/>
          <w:sz w:val="32"/>
          <w:szCs w:val="32"/>
        </w:rPr>
        <w:t>听取和审议计划、预算、决算、审计等专项工作报告7项。</w:t>
      </w:r>
      <w:r>
        <w:rPr>
          <w:rFonts w:hint="eastAsia" w:ascii="仿宋" w:hAnsi="仿宋" w:eastAsia="仿宋" w:cs="仿宋"/>
          <w:sz w:val="32"/>
          <w:szCs w:val="32"/>
        </w:rPr>
        <w:t>建立完善人大预算审查重点向支出预算和政策拓展的程序和办法。</w:t>
      </w:r>
      <w:r>
        <w:rPr>
          <w:rFonts w:hint="eastAsia" w:ascii="仿宋" w:hAnsi="仿宋" w:eastAsia="仿宋" w:cs="仿宋"/>
          <w:snapToGrid w:val="0"/>
          <w:kern w:val="0"/>
          <w:sz w:val="32"/>
          <w:szCs w:val="32"/>
        </w:rPr>
        <w:t>加强专项工作监督。听取和审议</w:t>
      </w:r>
      <w:r>
        <w:rPr>
          <w:rFonts w:hint="eastAsia" w:ascii="仿宋" w:hAnsi="仿宋" w:eastAsia="仿宋" w:cs="仿宋"/>
          <w:sz w:val="32"/>
          <w:szCs w:val="32"/>
        </w:rPr>
        <w:t>城市绿化、医疗卫生服务体系建设等专项工作报告5项；审议通过监督和支持检察机关开展公益诉讼工作的意见；听取精准扶贫和精准脱贫等工作报告2项。</w:t>
      </w:r>
      <w:r>
        <w:rPr>
          <w:rFonts w:hint="eastAsia" w:ascii="仿宋" w:hAnsi="仿宋" w:eastAsia="仿宋" w:cs="仿宋"/>
          <w:snapToGrid w:val="0"/>
          <w:kern w:val="0"/>
          <w:sz w:val="32"/>
          <w:szCs w:val="32"/>
        </w:rPr>
        <w:t>加强执法检查工作。围绕</w:t>
      </w:r>
      <w:r>
        <w:rPr>
          <w:rFonts w:hint="eastAsia" w:ascii="仿宋" w:hAnsi="仿宋" w:eastAsia="仿宋" w:cs="仿宋"/>
          <w:sz w:val="32"/>
          <w:szCs w:val="32"/>
        </w:rPr>
        <w:t>助推打赢蓝天保卫战、构建现代经济体系和创建农产品质量安全市，</w:t>
      </w:r>
      <w:r>
        <w:rPr>
          <w:rFonts w:hint="eastAsia" w:ascii="仿宋" w:hAnsi="仿宋" w:eastAsia="仿宋" w:cs="仿宋"/>
          <w:snapToGrid w:val="0"/>
          <w:kern w:val="0"/>
          <w:sz w:val="32"/>
          <w:szCs w:val="32"/>
        </w:rPr>
        <w:t>开展固体废物污染环境防护“一法一条例”、中小企业促进“一法一条例”和农产品质量安全法执法检查。坚持执法检查和专题询问相结合，</w:t>
      </w:r>
      <w:r>
        <w:rPr>
          <w:rFonts w:hint="eastAsia" w:ascii="仿宋" w:hAnsi="仿宋" w:eastAsia="仿宋" w:cs="仿宋"/>
          <w:sz w:val="32"/>
          <w:szCs w:val="32"/>
        </w:rPr>
        <w:t>开展农产品质量安全情况专题询问</w:t>
      </w:r>
      <w:r>
        <w:rPr>
          <w:rFonts w:hint="eastAsia" w:ascii="仿宋" w:hAnsi="仿宋" w:eastAsia="仿宋" w:cs="仿宋"/>
          <w:snapToGrid w:val="0"/>
          <w:kern w:val="0"/>
          <w:sz w:val="32"/>
          <w:szCs w:val="32"/>
        </w:rPr>
        <w:t>。创新监督方法。</w:t>
      </w:r>
      <w:r>
        <w:rPr>
          <w:rFonts w:hint="eastAsia" w:ascii="仿宋" w:hAnsi="仿宋" w:eastAsia="仿宋" w:cs="仿宋"/>
          <w:sz w:val="32"/>
          <w:szCs w:val="32"/>
        </w:rPr>
        <w:t>建立实施“全链条”监督模式</w:t>
      </w:r>
      <w:r>
        <w:rPr>
          <w:rFonts w:hint="eastAsia" w:ascii="仿宋" w:hAnsi="仿宋" w:eastAsia="仿宋" w:cs="仿宋"/>
          <w:snapToGrid w:val="0"/>
          <w:kern w:val="0"/>
          <w:sz w:val="32"/>
          <w:szCs w:val="32"/>
        </w:rPr>
        <w:t>。强化跟踪问效</w:t>
      </w:r>
      <w:r>
        <w:rPr>
          <w:rFonts w:hint="eastAsia" w:ascii="仿宋" w:hAnsi="仿宋" w:eastAsia="仿宋" w:cs="仿宋"/>
          <w:sz w:val="32"/>
          <w:szCs w:val="32"/>
        </w:rPr>
        <w:t>。健全常委会议题审议意见督办落实机制</w:t>
      </w:r>
      <w:r>
        <w:rPr>
          <w:rFonts w:hint="eastAsia" w:ascii="仿宋" w:hAnsi="仿宋" w:eastAsia="仿宋" w:cs="仿宋"/>
          <w:snapToGrid w:val="0"/>
          <w:kern w:val="0"/>
          <w:sz w:val="32"/>
          <w:szCs w:val="32"/>
        </w:rPr>
        <w:t>。组织开展履职评议工作。</w:t>
      </w:r>
      <w:r>
        <w:rPr>
          <w:rFonts w:hint="eastAsia" w:ascii="仿宋" w:hAnsi="仿宋" w:eastAsia="仿宋" w:cs="仿宋"/>
          <w:sz w:val="32"/>
          <w:szCs w:val="32"/>
        </w:rPr>
        <w:t>制定出台对市政府工作部门主要负责人开展履职评议的暂行办法，建立并落实履职评议和满意度测评制度。</w:t>
      </w:r>
      <w:r>
        <w:rPr>
          <w:rFonts w:hint="eastAsia" w:ascii="仿宋" w:hAnsi="仿宋" w:eastAsia="仿宋" w:cs="仿宋"/>
          <w:snapToGrid w:val="0"/>
          <w:kern w:val="0"/>
          <w:sz w:val="32"/>
          <w:szCs w:val="32"/>
        </w:rPr>
        <w:t>加强信访工作。</w:t>
      </w:r>
    </w:p>
    <w:p>
      <w:pPr>
        <w:snapToGrid w:val="0"/>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三是依法行使重大事项决定权，做好选举任免工作</w:t>
      </w:r>
      <w:r>
        <w:rPr>
          <w:rFonts w:hint="eastAsia" w:ascii="仿宋" w:hAnsi="仿宋" w:eastAsia="仿宋" w:cs="仿宋"/>
          <w:kern w:val="0"/>
          <w:sz w:val="32"/>
          <w:szCs w:val="32"/>
        </w:rPr>
        <w:t>。</w:t>
      </w:r>
      <w:r>
        <w:rPr>
          <w:rFonts w:hint="eastAsia" w:ascii="仿宋" w:hAnsi="仿宋" w:eastAsia="仿宋" w:cs="仿宋"/>
          <w:snapToGrid w:val="0"/>
          <w:kern w:val="0"/>
          <w:sz w:val="32"/>
          <w:szCs w:val="32"/>
        </w:rPr>
        <w:t>主要有，</w:t>
      </w:r>
      <w:r>
        <w:rPr>
          <w:rFonts w:hint="eastAsia" w:ascii="仿宋" w:hAnsi="仿宋" w:eastAsia="仿宋" w:cs="仿宋"/>
          <w:kern w:val="0"/>
          <w:sz w:val="32"/>
          <w:szCs w:val="32"/>
        </w:rPr>
        <w:t>完善讨论决定重大事项相关制度。研究起草我市《关于健全人大讨论决定重大事项制度、各级政府重大决策出台前向本级人大报告的实施细则》。依法行使重大事项决定权</w:t>
      </w:r>
      <w:r>
        <w:rPr>
          <w:rFonts w:hint="eastAsia" w:ascii="仿宋" w:hAnsi="仿宋" w:eastAsia="仿宋" w:cs="仿宋"/>
          <w:snapToGrid w:val="0"/>
          <w:kern w:val="0"/>
          <w:sz w:val="32"/>
          <w:szCs w:val="32"/>
        </w:rPr>
        <w:t>。作出关于加强财政预算审计问题整改的决定。适时作出关于钢铁产业发展规划的决议。</w:t>
      </w:r>
      <w:r>
        <w:rPr>
          <w:rFonts w:hint="eastAsia" w:ascii="仿宋" w:hAnsi="仿宋" w:eastAsia="仿宋" w:cs="仿宋"/>
          <w:kern w:val="0"/>
          <w:sz w:val="32"/>
          <w:szCs w:val="32"/>
        </w:rPr>
        <w:t>依法做好选举任免工作。</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四是着力创新代表工作，激发代表履职活力。主要有，强化代表建议督办。探索建立代表建议办理督促检查和效果评价机制。强化闭会期间代表工作。持续推进“人大代表之家”（联络站）建设、管理和运行</w:t>
      </w:r>
      <w:r>
        <w:rPr>
          <w:rFonts w:hint="eastAsia" w:ascii="仿宋" w:hAnsi="仿宋" w:eastAsia="仿宋" w:cs="仿宋"/>
          <w:sz w:val="32"/>
          <w:szCs w:val="32"/>
        </w:rPr>
        <w:t>。适时召开</w:t>
      </w:r>
      <w:r>
        <w:rPr>
          <w:rFonts w:hint="eastAsia" w:ascii="仿宋" w:hAnsi="仿宋" w:eastAsia="仿宋" w:cs="仿宋"/>
          <w:snapToGrid w:val="0"/>
          <w:kern w:val="0"/>
          <w:sz w:val="32"/>
          <w:szCs w:val="32"/>
        </w:rPr>
        <w:t>“家、站”管理运行现场经验交流会。继续组织开展代表“访民情、汇民智、解民忧、促发展”主题实践活动。强化代表监督与管理。完善落实代表履职情况档案化管理和年度考核制度，年内组织代表向原选举单位述职比例不低于25%。开展优秀代表、优秀代表建议和优秀代表小组评选。强化代表履职服务保障。全面及时向代表通报常委会重要工作、代表意见建议办理等情况。完善和落实常委会组成人员联系基层代表常态化机制。坚持邀请代表列席人大常委会会议和专门委员会会议，参加调研、视察、执法检查等活动。</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五是着力加强自身建设，提升履职水平和质量。主要有，加强思想政治建设。始终把加强思想政治建设摆在首位，</w:t>
      </w:r>
      <w:r>
        <w:rPr>
          <w:rFonts w:hint="eastAsia" w:ascii="仿宋" w:hAnsi="仿宋" w:eastAsia="仿宋" w:cs="仿宋"/>
          <w:sz w:val="32"/>
          <w:szCs w:val="32"/>
        </w:rPr>
        <w:t>营造正气充盈的政治生态。</w:t>
      </w:r>
      <w:r>
        <w:rPr>
          <w:rFonts w:hint="eastAsia" w:ascii="仿宋" w:hAnsi="仿宋" w:eastAsia="仿宋" w:cs="仿宋"/>
          <w:snapToGrid w:val="0"/>
          <w:kern w:val="0"/>
          <w:sz w:val="32"/>
          <w:szCs w:val="32"/>
        </w:rPr>
        <w:t>深化作风纪律建设。严格落实全面从严治党要求，持之以恒反对“四风”，驰而不息正风肃纪。强化履职能力建设。坚持机关集体学习制度。组织实施人大代表、人大干部“能力提升扩容工程”。健全人大履职工作机制。建成常委会专家咨询库。加强工作交流和指导。深入贯彻中央和省委关于加强县乡人大工作和建设的有关文件精神，加强信息交流和工作指导，研究解决制约县乡人大履职的突出和共性问题。统一和规范街道人大工作机构设置。加强信息宣传工作。加强人大信息宣传阵地和队伍建设。增强人大信息宣传工作的针对性、生动性和实效性。</w:t>
      </w:r>
    </w:p>
    <w:p>
      <w:pPr>
        <w:jc w:val="left"/>
        <w:rPr>
          <w:rFonts w:hint="eastAsia" w:ascii="仿宋" w:hAnsi="仿宋" w:eastAsia="仿宋" w:cs="仿宋"/>
          <w:b/>
          <w:color w:val="000000"/>
          <w:sz w:val="32"/>
          <w:szCs w:val="32"/>
        </w:rPr>
      </w:pPr>
      <w:r>
        <w:rPr>
          <w:rFonts w:hint="eastAsia" w:ascii="仿宋" w:hAnsi="仿宋" w:eastAsia="仿宋" w:cs="仿宋"/>
          <w:b/>
          <w:color w:val="FF0000"/>
          <w:sz w:val="32"/>
          <w:szCs w:val="32"/>
        </w:rPr>
        <w:t xml:space="preserve">    </w:t>
      </w:r>
      <w:r>
        <w:rPr>
          <w:rFonts w:hint="eastAsia" w:ascii="仿宋" w:hAnsi="仿宋" w:eastAsia="仿宋" w:cs="仿宋"/>
          <w:b/>
          <w:color w:val="000000"/>
          <w:sz w:val="32"/>
          <w:szCs w:val="32"/>
        </w:rPr>
        <w:t>职责分类绩效目标：</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一、着力推进立法工作，以良法促发展保善治</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抓好重点立法项目。充分发挥立法的引领和推动作用，以重点领域立法促进转型发展、回应百姓关切。审议通过《唐山市房地产交易管理条例》《唐山市畜禽屠宰管理条例》《唐山市旅游业促进条例》《唐山市文明行为促进条例》。针对城市供水管理、机动车公共停车场所管理、食品安全监督管理、生态环境保护、港口建设管理等预备项目开展重点调研；围绕集中式饮用水水源保护区管理、近现代工业遗产保护等适时开展调研，为后续立法夯实基础。</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2．完善立法机制。以颁布实施</w:t>
      </w:r>
      <w:r>
        <w:rPr>
          <w:rFonts w:hint="eastAsia" w:ascii="仿宋" w:hAnsi="仿宋" w:eastAsia="仿宋" w:cs="仿宋"/>
          <w:sz w:val="32"/>
          <w:szCs w:val="32"/>
        </w:rPr>
        <w:t>《唐山市地方立法条例》为契机，进一步完善立法立项、调研、起草、论证、协调、审议等工作机制；加强立法专家顾问库、基层立法联系点建设，探索建立委托第三方起草法规草案和举办立法听证会等工作机制，扩大人大代表、政协委员、基层人大和社会各方面对立法工作的参与，提高立法精细化水平，确保出台的每一部法律法规都立得住、行得通、真管用、有影响。</w:t>
      </w:r>
      <w:r>
        <w:rPr>
          <w:rFonts w:hint="eastAsia" w:ascii="仿宋" w:hAnsi="仿宋" w:eastAsia="仿宋" w:cs="仿宋"/>
          <w:snapToGrid w:val="0"/>
          <w:kern w:val="0"/>
          <w:sz w:val="32"/>
          <w:szCs w:val="32"/>
        </w:rPr>
        <w:t>严格遵循法定权限和法定程序，健全完善法规常态化清理机制。推进合宪性审查工作，加强对政府规章等规范性文件的备案审查。</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3．强化法规宣传。</w:t>
      </w:r>
      <w:r>
        <w:rPr>
          <w:rFonts w:hint="eastAsia" w:ascii="仿宋" w:hAnsi="仿宋" w:eastAsia="仿宋" w:cs="仿宋"/>
          <w:sz w:val="32"/>
          <w:szCs w:val="32"/>
        </w:rPr>
        <w:t>组织动员社会各界力量，结合落实“七五”普法规划，利用传统媒体和新兴媒体平台，通过召开新闻发布会、设置专版专栏等多种形式，加大全民普法力度，持续加强宪法法律宣传、解读、普及，促进全社会尊法学法守法用法。出台实施方案，组织开展我市地方法规集中宣传活动</w:t>
      </w:r>
      <w:r>
        <w:rPr>
          <w:rFonts w:hint="eastAsia" w:ascii="仿宋" w:hAnsi="仿宋" w:eastAsia="仿宋" w:cs="仿宋"/>
          <w:snapToGrid w:val="0"/>
          <w:kern w:val="0"/>
          <w:sz w:val="32"/>
          <w:szCs w:val="32"/>
        </w:rPr>
        <w:t>。</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二、着力加强改进监督工作，促发展惠民生</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napToGrid w:val="0"/>
          <w:kern w:val="0"/>
          <w:sz w:val="32"/>
          <w:szCs w:val="32"/>
        </w:rPr>
        <w:t>4．加强市重点工作视察调研。</w:t>
      </w:r>
      <w:r>
        <w:rPr>
          <w:rFonts w:hint="eastAsia" w:ascii="仿宋" w:hAnsi="仿宋" w:eastAsia="仿宋" w:cs="仿宋"/>
          <w:sz w:val="32"/>
          <w:szCs w:val="32"/>
        </w:rPr>
        <w:t>紧紧围绕市委确定的“十项重点工作”中的建设生态唐山实现绿色发展、“一港双城”（城镇化）建设、环渤海地区新型工业化基地建设、科技创新与新兴产业发展、重大项目推进5项重点工作，组织开展视察调研，深入详细掌握情况、认真研究分析问题、科学合理建言献策，推动相关重点工作全面、扎实、有效开展。</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napToGrid w:val="0"/>
          <w:kern w:val="0"/>
          <w:sz w:val="32"/>
          <w:szCs w:val="32"/>
        </w:rPr>
        <w:t>5．加强经济工作监督</w:t>
      </w:r>
      <w:r>
        <w:rPr>
          <w:rFonts w:hint="eastAsia" w:ascii="仿宋" w:hAnsi="仿宋" w:eastAsia="仿宋" w:cs="仿宋"/>
          <w:sz w:val="32"/>
          <w:szCs w:val="32"/>
        </w:rPr>
        <w:t>。督促和支持政府坚持稳中求进工作总基调，努力实现高质量高效益发展，听取和审议市政府2018年上半年计划、预算执行情况的报告，听取和审议市政府2017年审计工作、审计查出问题整改情况的报告，审查和批准市政府2017年市本级决算及市总决算的报告。进一步加强全口径全过程监督，审查和批准市政府2018年部分指标计划调整、预算调整方案及备案事项的报告，听取市政府2018年市本级预算批复及预算公开、全市政府性债务管理使用偿还情况的报告。建立完善人大预算审查重点向支出预算和政策拓展的程序和办法。</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6．加强专项工作监督。聚焦中心任务、服务发展大局、紧盯民生实事，</w:t>
      </w:r>
      <w:r>
        <w:rPr>
          <w:rFonts w:hint="eastAsia" w:ascii="仿宋" w:hAnsi="仿宋" w:eastAsia="仿宋" w:cs="仿宋"/>
          <w:sz w:val="32"/>
          <w:szCs w:val="32"/>
        </w:rPr>
        <w:t>不断做实做深专项监督工作，</w:t>
      </w:r>
      <w:r>
        <w:rPr>
          <w:rFonts w:hint="eastAsia" w:ascii="仿宋" w:hAnsi="仿宋" w:eastAsia="仿宋" w:cs="仿宋"/>
          <w:snapToGrid w:val="0"/>
          <w:kern w:val="0"/>
          <w:sz w:val="32"/>
          <w:szCs w:val="32"/>
        </w:rPr>
        <w:t>听取和审议市政府</w:t>
      </w:r>
      <w:r>
        <w:rPr>
          <w:rFonts w:hint="eastAsia" w:ascii="仿宋" w:hAnsi="仿宋" w:eastAsia="仿宋" w:cs="仿宋"/>
          <w:sz w:val="32"/>
          <w:szCs w:val="32"/>
        </w:rPr>
        <w:t>城市绿化、医疗卫生服务体系建设、履行道路交通安全管理职责、国有资产管理及贯彻实施《公共文化服务保障法》等专项工作报告；审议通过市人大常委会关于监督和支持检察机关开展公益诉讼工作的意见；听取市政府精准扶贫和精准脱贫、市法院关于人大代表见证执行工作情况的报告。</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napToGrid w:val="0"/>
          <w:kern w:val="0"/>
          <w:sz w:val="32"/>
          <w:szCs w:val="32"/>
        </w:rPr>
        <w:t>7．加强执法检查工作。围绕</w:t>
      </w:r>
      <w:r>
        <w:rPr>
          <w:rFonts w:hint="eastAsia" w:ascii="仿宋" w:hAnsi="仿宋" w:eastAsia="仿宋" w:cs="仿宋"/>
          <w:sz w:val="32"/>
          <w:szCs w:val="32"/>
        </w:rPr>
        <w:t>助推打赢蓝天保卫战、构建现代经济体系和创建农产品质量安全市，</w:t>
      </w:r>
      <w:r>
        <w:rPr>
          <w:rFonts w:hint="eastAsia" w:ascii="仿宋" w:hAnsi="仿宋" w:eastAsia="仿宋" w:cs="仿宋"/>
          <w:snapToGrid w:val="0"/>
          <w:kern w:val="0"/>
          <w:sz w:val="32"/>
          <w:szCs w:val="32"/>
        </w:rPr>
        <w:t>开展《固体废物污染环境防护法》《河北省固体废物污染环境防治条例》和《中小企业促进法》《河北省中小企业促进条例》及《农产品质量安全法》等法律法规贯彻执行情况的执法检查，紧扣关键性法律法规条款，确定检查重点，规范检查流程，推动解决法律法规贯彻执行中的突出问题。坚持执法检查和专题询问相结合，</w:t>
      </w:r>
      <w:r>
        <w:rPr>
          <w:rFonts w:hint="eastAsia" w:ascii="仿宋" w:hAnsi="仿宋" w:eastAsia="仿宋" w:cs="仿宋"/>
          <w:sz w:val="32"/>
          <w:szCs w:val="32"/>
        </w:rPr>
        <w:t>开展农产品质量安全情况专题询问</w:t>
      </w:r>
      <w:r>
        <w:rPr>
          <w:rFonts w:hint="eastAsia" w:ascii="仿宋" w:hAnsi="仿宋" w:eastAsia="仿宋" w:cs="仿宋"/>
          <w:snapToGrid w:val="0"/>
          <w:kern w:val="0"/>
          <w:sz w:val="32"/>
          <w:szCs w:val="32"/>
        </w:rPr>
        <w:t>。</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8．创新监督方法。</w:t>
      </w:r>
      <w:r>
        <w:rPr>
          <w:rFonts w:hint="eastAsia" w:ascii="仿宋" w:hAnsi="仿宋" w:eastAsia="仿宋" w:cs="仿宋"/>
          <w:sz w:val="32"/>
          <w:szCs w:val="32"/>
        </w:rPr>
        <w:t>坚持正确监督、有效监督，建立实施“全链条”监督模式，切实抓好精选议题、组织实施、报告情况、审议询问、督导落实等环节，着力增强监督工作的系统性和有效性</w:t>
      </w:r>
      <w:r>
        <w:rPr>
          <w:rFonts w:hint="eastAsia" w:ascii="仿宋" w:hAnsi="仿宋" w:eastAsia="仿宋" w:cs="仿宋"/>
          <w:snapToGrid w:val="0"/>
          <w:kern w:val="0"/>
          <w:sz w:val="32"/>
          <w:szCs w:val="32"/>
        </w:rPr>
        <w:t>，切实做到监督动真格、支持有力度，扎实推动市委重大决策部署落地落实。</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napToGrid w:val="0"/>
          <w:kern w:val="0"/>
          <w:sz w:val="32"/>
          <w:szCs w:val="32"/>
        </w:rPr>
        <w:t>9．强化跟踪问效</w:t>
      </w:r>
      <w:r>
        <w:rPr>
          <w:rFonts w:hint="eastAsia" w:ascii="仿宋" w:hAnsi="仿宋" w:eastAsia="仿宋" w:cs="仿宋"/>
          <w:sz w:val="32"/>
          <w:szCs w:val="32"/>
        </w:rPr>
        <w:t>。健全常委会议题审议意见督办落实机制，明确责任单位整改落实反馈限期，坚持常委会会议、主任会议专题听取落实报告，组织跟踪检查。对整改落实简单应付、敷衍了事的单位，责成其主要负责人向常委会说明情况，接受询问或质询。持续监督市法院执行工作，听取市政府落实市人大常委会义务教育法和防洪法执法检查意见整改情况的报告</w:t>
      </w:r>
      <w:r>
        <w:rPr>
          <w:rFonts w:hint="eastAsia" w:ascii="仿宋" w:hAnsi="仿宋" w:eastAsia="仿宋" w:cs="仿宋"/>
          <w:snapToGrid w:val="0"/>
          <w:kern w:val="0"/>
          <w:sz w:val="32"/>
          <w:szCs w:val="32"/>
        </w:rPr>
        <w:t>。</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napToGrid w:val="0"/>
          <w:kern w:val="0"/>
          <w:sz w:val="32"/>
          <w:szCs w:val="32"/>
        </w:rPr>
        <w:t>10．组织开展履职评议工作。</w:t>
      </w:r>
      <w:r>
        <w:rPr>
          <w:rFonts w:hint="eastAsia" w:ascii="仿宋" w:hAnsi="仿宋" w:eastAsia="仿宋" w:cs="仿宋"/>
          <w:sz w:val="32"/>
          <w:szCs w:val="32"/>
        </w:rPr>
        <w:t>制定出台《唐山市人大常委会关于对市政府工作部门主要负责人开展履职评议的暂行办法》，建立并落实对市政府工作部门主要负责人进行履职评议和满意度测评制度，增强被评议对象忠诚履职、担当履职、依法履职、为民履职的责任意识。</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z w:val="32"/>
          <w:szCs w:val="32"/>
        </w:rPr>
        <w:t>11．</w:t>
      </w:r>
      <w:r>
        <w:rPr>
          <w:rFonts w:hint="eastAsia" w:ascii="仿宋" w:hAnsi="仿宋" w:eastAsia="仿宋" w:cs="仿宋"/>
          <w:snapToGrid w:val="0"/>
          <w:kern w:val="0"/>
          <w:sz w:val="32"/>
          <w:szCs w:val="32"/>
        </w:rPr>
        <w:t>加强信访工作。落实市人大常委会信访工作规定，严格按照法定途径分类处理群众来信来访和网上信访，推动和促进问题依法公正解决，维护社会和谐稳定。紧紧围绕立法、监督等工作，加强对信访信息的分析和调研，反映社情民意，提出建议对策，为改进相关工作提供参考。适时召开全市法院系统联合接访工作交流座谈会。</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三、依法行使重大事项决定权，做好选举任免工作</w:t>
      </w:r>
    </w:p>
    <w:p>
      <w:pPr>
        <w:spacing w:line="570" w:lineRule="exact"/>
        <w:ind w:firstLine="640" w:firstLineChars="200"/>
        <w:rPr>
          <w:rFonts w:hint="eastAsia" w:ascii="仿宋" w:hAnsi="仿宋" w:eastAsia="仿宋" w:cs="仿宋"/>
          <w:kern w:val="0"/>
          <w:sz w:val="32"/>
          <w:szCs w:val="32"/>
        </w:rPr>
      </w:pPr>
      <w:r>
        <w:rPr>
          <w:rFonts w:hint="eastAsia" w:ascii="仿宋" w:hAnsi="仿宋" w:eastAsia="仿宋" w:cs="仿宋"/>
          <w:snapToGrid w:val="0"/>
          <w:kern w:val="0"/>
          <w:sz w:val="32"/>
          <w:szCs w:val="32"/>
        </w:rPr>
        <w:t>12．</w:t>
      </w:r>
      <w:r>
        <w:rPr>
          <w:rFonts w:hint="eastAsia" w:ascii="仿宋" w:hAnsi="仿宋" w:eastAsia="仿宋" w:cs="仿宋"/>
          <w:kern w:val="0"/>
          <w:sz w:val="32"/>
          <w:szCs w:val="32"/>
        </w:rPr>
        <w:t>完善讨论决定重大事项相关制度。认真学习贯彻中央〔2017〕10号文件和省委有关实施办法，研究起草我市《关于健全人大讨论决定重大事项制度、各级政府重大决策出台前向本级人大报告的实施细则》，建立健全政府向人大常委会报告重大事项的具体制度和程序，明晰讨论决定重大事项工作的总体要求、基本原则、范围流程等内容，进一步规范和保障讨论决定重大事项职权的正确有效行使。</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13．</w:t>
      </w:r>
      <w:r>
        <w:rPr>
          <w:rFonts w:hint="eastAsia" w:ascii="仿宋" w:hAnsi="仿宋" w:eastAsia="仿宋" w:cs="仿宋"/>
          <w:kern w:val="0"/>
          <w:sz w:val="32"/>
          <w:szCs w:val="32"/>
        </w:rPr>
        <w:t>依法行使重大事项决定权</w:t>
      </w:r>
      <w:r>
        <w:rPr>
          <w:rFonts w:hint="eastAsia" w:ascii="仿宋" w:hAnsi="仿宋" w:eastAsia="仿宋" w:cs="仿宋"/>
          <w:snapToGrid w:val="0"/>
          <w:kern w:val="0"/>
          <w:sz w:val="32"/>
          <w:szCs w:val="32"/>
        </w:rPr>
        <w:t>。坚持把重大事项决定权与监督权的行使紧密结合起来，围绕市委重大决策部署、</w:t>
      </w:r>
      <w:r>
        <w:rPr>
          <w:rFonts w:hint="eastAsia" w:ascii="仿宋" w:hAnsi="仿宋" w:eastAsia="仿宋" w:cs="仿宋"/>
          <w:kern w:val="0"/>
          <w:sz w:val="32"/>
          <w:szCs w:val="32"/>
        </w:rPr>
        <w:t>社会关注和群众关心的重大问题</w:t>
      </w:r>
      <w:r>
        <w:rPr>
          <w:rFonts w:hint="eastAsia" w:ascii="仿宋" w:hAnsi="仿宋" w:eastAsia="仿宋" w:cs="仿宋"/>
          <w:snapToGrid w:val="0"/>
          <w:kern w:val="0"/>
          <w:sz w:val="32"/>
          <w:szCs w:val="32"/>
        </w:rPr>
        <w:t>适时作出决议决定，推动中心工作的贯彻落实。围绕强化预算审查监督，提高财政资金使用效益，作出关于加强财政预算审计问题整改的决定。围绕我市钢铁产业发展规划组织开展调研，适时作出关于钢铁产业发展规划的决议。</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14．</w:t>
      </w:r>
      <w:r>
        <w:rPr>
          <w:rFonts w:hint="eastAsia" w:ascii="仿宋" w:hAnsi="仿宋" w:eastAsia="仿宋" w:cs="仿宋"/>
          <w:kern w:val="0"/>
          <w:sz w:val="32"/>
          <w:szCs w:val="32"/>
        </w:rPr>
        <w:t>依法做好选举任免工作。</w:t>
      </w:r>
      <w:r>
        <w:rPr>
          <w:rFonts w:hint="eastAsia" w:ascii="仿宋" w:hAnsi="仿宋" w:eastAsia="仿宋" w:cs="仿宋"/>
          <w:snapToGrid w:val="0"/>
          <w:kern w:val="0"/>
          <w:sz w:val="32"/>
          <w:szCs w:val="32"/>
        </w:rPr>
        <w:t>坚持党管干部和依法选举任免相统一的原则，加强与组织部门沟通联系，加强与行政、监察、司法机关工作协同，确保通过法定程序实现省、市委人事安排意图，确保“一府一委两院”提请任免人选及时得到任免。严格落实人大及其常委会选举任命的国家工作人员向宪法宣誓制度。依法做好个别代表的代表资格变动审查和确认工作。</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四、着力创新代表工作，激发代表履职活力</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15．强化代表建议督办。加强培训和指导，引导代表提出高质量建议。探索建立代表建议办理督促检查和效果评价机制，明确办理责任、视察办理情况、测评办理结果，着力提高代表建议办理的成效，做到“事事有回音”“件件有着落”。逐步扩大代表建议及办理结果向社会公开的范围，接受人民群众监督。</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16．强化闭会期间代表工作。持续推进“人大代表之家”（联络站）建设、管理和运行，</w:t>
      </w:r>
      <w:r>
        <w:rPr>
          <w:rFonts w:hint="eastAsia" w:ascii="仿宋" w:hAnsi="仿宋" w:eastAsia="仿宋" w:cs="仿宋"/>
          <w:sz w:val="32"/>
          <w:szCs w:val="32"/>
        </w:rPr>
        <w:t>以“家、站”和代表活动小组为依托，积极开展学习交流、调研视察、监督评议、联系选民等活动，促进闭会期间代表活动经常化、制度化、规范化。适时召开“家、站”</w:t>
      </w:r>
      <w:r>
        <w:rPr>
          <w:rFonts w:hint="eastAsia" w:ascii="仿宋" w:hAnsi="仿宋" w:eastAsia="仿宋" w:cs="仿宋"/>
          <w:snapToGrid w:val="0"/>
          <w:kern w:val="0"/>
          <w:sz w:val="32"/>
          <w:szCs w:val="32"/>
        </w:rPr>
        <w:t>管理运行现场经验交流会。继续组织开展代表“访民情、汇民智、解民忧、促发展”主题实践活动，更好地发挥代表倾听民声、反映民意、汇聚民智的桥梁纽带作用，发挥代表推动改革、服务发展、促进和谐的示范带动作用。</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17．强化代表监督与管理。完善落实代表履职情况档案化管理和年度考核制度，年内组织代表向原选举单位述职比例不低于25%，进一步增强代表依法履职意识，规范代表履职行为。开展优秀代表、优秀代表建议和优秀代表小组评选，加大代表依</w:t>
      </w:r>
      <w:r>
        <w:rPr>
          <w:rFonts w:hint="eastAsia" w:ascii="仿宋" w:hAnsi="仿宋" w:eastAsia="仿宋" w:cs="仿宋"/>
          <w:sz w:val="32"/>
          <w:szCs w:val="32"/>
        </w:rPr>
        <w:t>法履职、奉献社会先进事迹的宣传报道，不断激发代表依法履职的积极性、</w:t>
      </w:r>
      <w:r>
        <w:rPr>
          <w:rFonts w:hint="eastAsia" w:ascii="仿宋" w:hAnsi="仿宋" w:eastAsia="仿宋" w:cs="仿宋"/>
          <w:snapToGrid w:val="0"/>
          <w:kern w:val="0"/>
          <w:sz w:val="32"/>
          <w:szCs w:val="32"/>
        </w:rPr>
        <w:t>责任感和使命感。</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18．强化代表履职服务保障。全面及时向代表通报常委会重要工作、代表意见建议办理等情况，为代表知情知政、依法履职提供服务。完善和落实常委会组成人员联系基层代表常态化机制。坚持邀请代表列席人大常委会会议和专门委员会会议，参加调研、视察、执法检查等活动，认真听取和吸纳代表意见建议，支持和保障代表依法执行代表职务。坚持从代表履职实际需要出发，通过举办培训班等形式，加强代表思想、作风建设，切实提高代表依法履职的能力和水平。</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五、着力加强自身建设，提升履职水平和质量</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19．加强思想政治建设。坚持常委会理论学习制度，始终把加强思想政治建设摆在首位，</w:t>
      </w:r>
      <w:r>
        <w:rPr>
          <w:rFonts w:hint="eastAsia" w:ascii="仿宋" w:hAnsi="仿宋" w:eastAsia="仿宋" w:cs="仿宋"/>
          <w:sz w:val="32"/>
          <w:szCs w:val="32"/>
        </w:rPr>
        <w:t>把学习习近平新时代中国特色社会主义思想和十九大精神作为首要政治任务，着力在学懂弄通做实上下功夫，</w:t>
      </w:r>
      <w:r>
        <w:rPr>
          <w:rFonts w:hint="eastAsia" w:ascii="仿宋" w:hAnsi="仿宋" w:eastAsia="仿宋" w:cs="仿宋"/>
          <w:snapToGrid w:val="0"/>
          <w:kern w:val="0"/>
          <w:sz w:val="32"/>
          <w:szCs w:val="32"/>
        </w:rPr>
        <w:t>积极</w:t>
      </w:r>
      <w:r>
        <w:rPr>
          <w:rFonts w:hint="eastAsia" w:ascii="仿宋" w:hAnsi="仿宋" w:eastAsia="仿宋" w:cs="仿宋"/>
          <w:sz w:val="32"/>
          <w:szCs w:val="32"/>
        </w:rPr>
        <w:t>引导常委会组成人员和人大代表在政治立场、政治方向、政治原则、政治道路上同以习近平同志为核心的党中央保持高度一致，营造正气充盈的政治生态。</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20．深化作风纪律建设。充分发挥常委会党组领导核心作用，严格落实全面从严治党要求和党风廉政建设主体责任、监督责任，深入开展“不忘初心、牢记使命”主题教育和“三个看一看”解放思想大讨论，持之以恒反对“四风”，驰而不息正风肃纪，大力弘扬创新、一流、务实、高效、担当的优良作风，打造信念过硬、政治过硬、责任过硬、能力过硬、作风过硬的干部队伍。全力支持市纪委派驻纪检组工作。</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21．强化履职能力建设。坚持常委会机关集体学习制度，落实2018年培训计划，加强理论学习、业务培训的针对性、实效性。组织实施人大代表、人大干部“能力提升扩容工程”，着力在政治把握能力、服务大局能力、调查研究能力、联系群众能力、依法履职能力上持续提升、不断加强，更好地适应改革发展新要求和人大工作新任务。健全人大履职工作机制，使程序更严密、组织更规范、环节更紧凑、履职更有效。建成常委会专家咨询库。</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22．加强工作交流和指导。深入贯彻中央和省委关于加强县乡人大工作和建设的有关文件精神。通过邀请县级人大负责同志列席常委会会议、重大事项征求意见、上下联动开展监督检查、召开县乡人大工作研讨会和对口部门联系会、开展业务培训等多种方式，加强信息交流和工作指导，推广成功经验，研究解决制约县乡人大履职的突出和共性问题，不断推动县乡人大工作和建设取得新成效。统一和规范街道人大工作机构设置。</w:t>
      </w:r>
    </w:p>
    <w:p>
      <w:pPr>
        <w:spacing w:line="57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23．加强信息宣传工作。加强人大信息宣传阵地和队伍建设，办好《唐山人大》杂志和市人大网站，推进县乡人大网站（网页）建设，深化微信等新兴媒体运用，适时举办信息宣传工作培训班。牢牢把握正确舆论导向，全面加强对人民代表大会制度、常委会重点工作和履职情况及县乡人大创新经验等的宣传报道，增强人大信息宣传工作的针对性、生动性和实效性。</w:t>
      </w:r>
    </w:p>
    <w:p>
      <w:pPr>
        <w:spacing w:line="570" w:lineRule="exact"/>
        <w:jc w:val="left"/>
        <w:rPr>
          <w:rFonts w:hint="eastAsia" w:ascii="仿宋" w:hAnsi="仿宋" w:eastAsia="仿宋" w:cs="仿宋"/>
          <w:sz w:val="32"/>
          <w:szCs w:val="32"/>
        </w:rPr>
      </w:pPr>
    </w:p>
    <w:p>
      <w:pPr>
        <w:spacing w:line="570" w:lineRule="exact"/>
        <w:jc w:val="left"/>
        <w:rPr>
          <w:rFonts w:hint="eastAsia" w:ascii="宋体" w:hAnsi="宋体" w:eastAsia="方正黑体简体"/>
          <w:sz w:val="32"/>
          <w:szCs w:val="32"/>
        </w:rPr>
      </w:pPr>
    </w:p>
    <w:p>
      <w:pPr>
        <w:spacing w:line="570" w:lineRule="exact"/>
        <w:jc w:val="left"/>
        <w:rPr>
          <w:rFonts w:hint="eastAsia" w:ascii="宋体" w:hAnsi="宋体" w:eastAsia="方正黑体简体"/>
          <w:sz w:val="32"/>
          <w:szCs w:val="32"/>
        </w:rPr>
      </w:pPr>
    </w:p>
    <w:p>
      <w:pPr>
        <w:spacing w:line="570" w:lineRule="exact"/>
        <w:jc w:val="left"/>
        <w:rPr>
          <w:rFonts w:hint="eastAsia" w:ascii="宋体" w:hAnsi="宋体" w:eastAsia="方正黑体简体"/>
          <w:sz w:val="32"/>
          <w:szCs w:val="32"/>
        </w:rPr>
      </w:pPr>
    </w:p>
    <w:p>
      <w:pPr>
        <w:autoSpaceDE w:val="0"/>
        <w:autoSpaceDN w:val="0"/>
        <w:adjustRightInd w:val="0"/>
        <w:ind w:left="200"/>
        <w:jc w:val="left"/>
        <w:rPr>
          <w:rFonts w:ascii="宋体" w:eastAsia="宋体" w:cs="宋体"/>
          <w:kern w:val="0"/>
          <w:sz w:val="18"/>
          <w:szCs w:val="18"/>
          <w:lang w:val="zh-CN"/>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jc w:val="cente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部门职责－工作活动绩效目标</w:t>
      </w:r>
    </w:p>
    <w:p>
      <w:pPr>
        <w:autoSpaceDE w:val="0"/>
        <w:autoSpaceDN w:val="0"/>
        <w:adjustRightInd w:val="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101唐山市人大常委会办公厅</w:t>
      </w:r>
    </w:p>
    <w:p>
      <w:pPr>
        <w:autoSpaceDE w:val="0"/>
        <w:autoSpaceDN w:val="0"/>
        <w:adjustRightInd w:val="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                                                                           单位：万元</w:t>
      </w: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74"/>
        <w:gridCol w:w="1575"/>
        <w:gridCol w:w="1575"/>
        <w:gridCol w:w="1575"/>
        <w:gridCol w:w="1575"/>
        <w:gridCol w:w="1575"/>
        <w:gridCol w:w="1575"/>
        <w:gridCol w:w="1575"/>
        <w:gridCol w:w="1575"/>
      </w:tblGrid>
      <w:tr>
        <w:tc>
          <w:tcPr>
            <w:tcW w:w="1574" w:type="dxa"/>
            <w:vMerge w:val="restart"/>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职责活动</w:t>
            </w:r>
          </w:p>
        </w:tc>
        <w:tc>
          <w:tcPr>
            <w:tcW w:w="1575" w:type="dxa"/>
            <w:vMerge w:val="restart"/>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年度预算</w:t>
            </w:r>
          </w:p>
        </w:tc>
        <w:tc>
          <w:tcPr>
            <w:tcW w:w="1575" w:type="dxa"/>
            <w:vMerge w:val="restart"/>
            <w:vAlign w:val="top"/>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内容描述</w:t>
            </w:r>
          </w:p>
        </w:tc>
        <w:tc>
          <w:tcPr>
            <w:tcW w:w="1575" w:type="dxa"/>
            <w:vMerge w:val="restart"/>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绩效目标</w:t>
            </w:r>
          </w:p>
        </w:tc>
        <w:tc>
          <w:tcPr>
            <w:tcW w:w="1575" w:type="dxa"/>
            <w:vMerge w:val="restart"/>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绩效指标</w:t>
            </w:r>
          </w:p>
        </w:tc>
        <w:tc>
          <w:tcPr>
            <w:tcW w:w="6300" w:type="dxa"/>
            <w:gridSpan w:val="4"/>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评价标准</w:t>
            </w:r>
          </w:p>
        </w:tc>
      </w:tr>
      <w:tr>
        <w:tc>
          <w:tcPr>
            <w:tcW w:w="1574" w:type="dxa"/>
            <w:vMerge w:val="continue"/>
            <w:tcBorders>
              <w:bottom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p>
        </w:tc>
        <w:tc>
          <w:tcPr>
            <w:tcW w:w="1575" w:type="dxa"/>
            <w:vMerge w:val="continue"/>
            <w:tcBorders>
              <w:bottom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p>
        </w:tc>
        <w:tc>
          <w:tcPr>
            <w:tcW w:w="1575" w:type="dxa"/>
            <w:vMerge w:val="continue"/>
            <w:tcBorders>
              <w:bottom w:val="single" w:color="auto" w:sz="4" w:space="0"/>
            </w:tcBorders>
            <w:textDirection w:val="lrTb"/>
            <w:vAlign w:val="top"/>
          </w:tcPr>
          <w:p>
            <w:pPr>
              <w:autoSpaceDE w:val="0"/>
              <w:autoSpaceDN w:val="0"/>
              <w:adjustRightInd w:val="0"/>
              <w:jc w:val="center"/>
              <w:rPr>
                <w:rFonts w:hint="eastAsia" w:ascii="仿宋_GB2312" w:hAnsi="仿宋_GB2312" w:eastAsia="仿宋_GB2312" w:cs="仿宋_GB2312"/>
                <w:sz w:val="24"/>
                <w:szCs w:val="24"/>
              </w:rPr>
            </w:pPr>
          </w:p>
        </w:tc>
        <w:tc>
          <w:tcPr>
            <w:tcW w:w="1575" w:type="dxa"/>
            <w:vMerge w:val="continue"/>
            <w:tcBorders>
              <w:bottom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p>
        </w:tc>
        <w:tc>
          <w:tcPr>
            <w:tcW w:w="1575" w:type="dxa"/>
            <w:vMerge w:val="continue"/>
            <w:tcBorders>
              <w:bottom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优</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良</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差</w:t>
            </w:r>
          </w:p>
        </w:tc>
      </w:tr>
      <w:tr>
        <w:tc>
          <w:tcPr>
            <w:tcW w:w="1574" w:type="dxa"/>
            <w:vMerge w:val="restart"/>
            <w:tcBorders>
              <w:top w:val="single" w:color="auto" w:sz="4" w:space="0"/>
              <w:left w:val="single" w:color="auto" w:sz="4" w:space="0"/>
              <w:right w:val="single" w:color="auto" w:sz="4" w:space="0"/>
            </w:tcBorders>
            <w:textDirection w:val="lrTb"/>
            <w:vAlign w:val="top"/>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人大会议</w:t>
            </w:r>
          </w:p>
        </w:tc>
        <w:tc>
          <w:tcPr>
            <w:tcW w:w="1575" w:type="dxa"/>
            <w:vMerge w:val="restart"/>
            <w:tcBorders>
              <w:top w:val="single" w:color="auto" w:sz="4" w:space="0"/>
              <w:left w:val="single" w:color="auto" w:sz="4" w:space="0"/>
              <w:right w:val="single" w:color="auto" w:sz="4" w:space="0"/>
            </w:tcBorders>
            <w:textDirection w:val="lrTb"/>
            <w:vAlign w:val="top"/>
          </w:tcPr>
          <w:p>
            <w:pPr>
              <w:autoSpaceDE w:val="0"/>
              <w:autoSpaceDN w:val="0"/>
              <w:adjustRightIn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260.00</w:t>
            </w:r>
          </w:p>
        </w:tc>
        <w:tc>
          <w:tcPr>
            <w:tcW w:w="1575" w:type="dxa"/>
            <w:vMerge w:val="restart"/>
            <w:tcBorders>
              <w:top w:val="single" w:color="auto" w:sz="4" w:space="0"/>
              <w:left w:val="single" w:color="auto" w:sz="4" w:space="0"/>
              <w:right w:val="single" w:color="auto" w:sz="4" w:space="0"/>
            </w:tcBorders>
            <w:textDirection w:val="lrTb"/>
            <w:vAlign w:val="top"/>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唐山市人民代表大会的筹备、会务工作。</w:t>
            </w:r>
          </w:p>
        </w:tc>
        <w:tc>
          <w:tcPr>
            <w:tcW w:w="1575" w:type="dxa"/>
            <w:vMerge w:val="restart"/>
            <w:tcBorders>
              <w:top w:val="single" w:color="auto" w:sz="4" w:space="0"/>
              <w:left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完善各项会议制度、规范会议程序、提高会议质量，保障会议圆满完成</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会议筹备及会务工作的完成率。</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100%</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95%</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90%</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&lt;</w:t>
            </w:r>
            <w:r>
              <w:rPr>
                <w:rFonts w:hint="eastAsia" w:ascii="仿宋_GB2312" w:hAnsi="仿宋_GB2312" w:eastAsia="仿宋_GB2312" w:cs="仿宋_GB2312"/>
                <w:sz w:val="24"/>
                <w:szCs w:val="24"/>
                <w:lang w:val="en-US" w:eastAsia="zh-CN"/>
              </w:rPr>
              <w:t>90%</w:t>
            </w:r>
          </w:p>
        </w:tc>
      </w:tr>
      <w:tr>
        <w:tc>
          <w:tcPr>
            <w:tcW w:w="1574" w:type="dxa"/>
            <w:vMerge w:val="continue"/>
            <w:tcBorders>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p>
        </w:tc>
        <w:tc>
          <w:tcPr>
            <w:tcW w:w="1575" w:type="dxa"/>
            <w:vMerge w:val="continue"/>
            <w:tcBorders>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p>
        </w:tc>
        <w:tc>
          <w:tcPr>
            <w:tcW w:w="1575" w:type="dxa"/>
            <w:vMerge w:val="continue"/>
            <w:tcBorders>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p>
        </w:tc>
        <w:tc>
          <w:tcPr>
            <w:tcW w:w="1575" w:type="dxa"/>
            <w:vMerge w:val="continue"/>
            <w:tcBorders>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政治任务实现率</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100%</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95%</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90%</w:t>
            </w:r>
          </w:p>
        </w:tc>
        <w:tc>
          <w:tcPr>
            <w:tcW w:w="1575"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&lt;</w:t>
            </w:r>
            <w:r>
              <w:rPr>
                <w:rFonts w:hint="eastAsia" w:ascii="仿宋_GB2312" w:hAnsi="仿宋_GB2312" w:eastAsia="仿宋_GB2312" w:cs="仿宋_GB2312"/>
                <w:sz w:val="24"/>
                <w:szCs w:val="24"/>
                <w:lang w:val="en-US" w:eastAsia="zh-CN"/>
              </w:rPr>
              <w:t>90%</w:t>
            </w:r>
          </w:p>
        </w:tc>
      </w:tr>
    </w:tbl>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bookmarkStart w:id="1" w:name="_GoBack"/>
      <w:bookmarkEnd w:id="1"/>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hint="eastAsia"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r>
        <w:rPr>
          <w:rFonts w:ascii="Times New Roman" w:hAnsi="Times New Roman" w:eastAsia="方正仿宋_GBK" w:cs="Times New Roman"/>
          <w:sz w:val="32"/>
          <w:szCs w:val="24"/>
        </w:rPr>
        <w:t xml:space="preserve">   201</w:t>
      </w:r>
      <w:r>
        <w:rPr>
          <w:rFonts w:hint="eastAsia" w:ascii="Times New Roman" w:hAnsi="Times New Roman" w:eastAsia="方正仿宋_GBK" w:cs="Times New Roman"/>
          <w:sz w:val="32"/>
          <w:szCs w:val="24"/>
          <w:lang w:val="en-US" w:eastAsia="zh-CN"/>
        </w:rPr>
        <w:t>8</w:t>
      </w:r>
      <w:r>
        <w:rPr>
          <w:rFonts w:ascii="Times New Roman" w:hAnsi="Times New Roman" w:eastAsia="方正仿宋_GBK" w:cs="Times New Roman"/>
          <w:sz w:val="32"/>
          <w:szCs w:val="24"/>
        </w:rPr>
        <w:t>年，安排政府采购预算</w:t>
      </w:r>
      <w:r>
        <w:rPr>
          <w:rFonts w:hint="eastAsia" w:ascii="Times New Roman" w:hAnsi="Times New Roman" w:eastAsia="方正仿宋_GBK" w:cs="Times New Roman"/>
          <w:sz w:val="32"/>
          <w:szCs w:val="24"/>
          <w:lang w:val="en-US" w:eastAsia="zh-CN"/>
        </w:rPr>
        <w:t>222.16</w:t>
      </w:r>
      <w:r>
        <w:rPr>
          <w:rFonts w:ascii="Times New Roman" w:hAnsi="Times New Roman" w:eastAsia="方正仿宋_GBK" w:cs="Times New Roman"/>
          <w:sz w:val="32"/>
          <w:szCs w:val="24"/>
        </w:rPr>
        <w:t>万元。具体内容见下表。</w:t>
      </w:r>
    </w:p>
    <w:p>
      <w:pPr>
        <w:jc w:val="center"/>
        <w:outlineLvl w:val="0"/>
        <w:rPr>
          <w:rFonts w:hint="eastAsia" w:ascii="方正小标宋_GBK" w:hAnsi="Times New Roman" w:eastAsia="方正小标宋_GBK" w:cs="Times New Roman"/>
          <w:sz w:val="32"/>
          <w:szCs w:val="24"/>
        </w:rPr>
      </w:pPr>
    </w:p>
    <w:p>
      <w:pPr>
        <w:pStyle w:val="8"/>
        <w:rPr>
          <w:rFonts w:hint="eastAsia"/>
        </w:rPr>
      </w:pPr>
      <w:bookmarkStart w:id="0" w:name="_Toc503349311"/>
      <w:r>
        <w:rPr>
          <w:rFonts w:hint="eastAsia"/>
        </w:rPr>
        <w:t>部门政府采购预算</w:t>
      </w:r>
      <w:bookmarkEnd w:id="0"/>
      <w:r>
        <w:rPr>
          <w:rFonts w:hint="eastAsia"/>
          <w:sz w:val="28"/>
        </w:rPr>
        <w:t xml:space="preserve">                      </w:t>
      </w:r>
      <w:r>
        <w:t xml:space="preserve">                                                </w:t>
      </w:r>
    </w:p>
    <w:tbl>
      <w:tblPr>
        <w:tblW w:w="15287" w:type="dxa"/>
        <w:jc w:val="center"/>
        <w:tblInd w:w="-1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10"/>
        <w:gridCol w:w="971"/>
        <w:gridCol w:w="1664"/>
        <w:gridCol w:w="698"/>
        <w:gridCol w:w="1342"/>
        <w:gridCol w:w="1249"/>
        <w:gridCol w:w="933"/>
        <w:gridCol w:w="558"/>
        <w:gridCol w:w="933"/>
        <w:gridCol w:w="523"/>
        <w:gridCol w:w="961"/>
        <w:gridCol w:w="961"/>
        <w:gridCol w:w="961"/>
        <w:gridCol w:w="961"/>
        <w:gridCol w:w="962"/>
      </w:tblGrid>
      <w:tr>
        <w:trPr>
          <w:cantSplit/>
          <w:trHeight w:val="232" w:hRule="atLeast"/>
          <w:tblHeader/>
          <w:jc w:val="center"/>
        </w:trPr>
        <w:tc>
          <w:tcPr>
            <w:tcW w:w="10481" w:type="dxa"/>
            <w:gridSpan w:val="10"/>
            <w:tcBorders>
              <w:top w:val="nil"/>
              <w:left w:val="nil"/>
              <w:bottom w:val="single" w:color="auto" w:sz="4" w:space="0"/>
              <w:right w:val="nil"/>
            </w:tcBorders>
            <w:vAlign w:val="center"/>
          </w:tcPr>
          <w:p>
            <w:pPr>
              <w:widowControl/>
              <w:jc w:val="left"/>
              <w:rPr>
                <w:rFonts w:hint="eastAsia" w:ascii="黑体" w:hAnsi="黑体" w:eastAsia="黑体" w:cs="宋体"/>
                <w:b/>
                <w:bCs/>
                <w:color w:val="000000"/>
                <w:kern w:val="0"/>
                <w:szCs w:val="21"/>
              </w:rPr>
            </w:pPr>
            <w:r>
              <w:rPr>
                <w:rFonts w:ascii="宋体" w:hAnsi="宋体"/>
                <w:sz w:val="28"/>
              </w:rPr>
              <w:t>101唐山市人民代表大会常务委员会</w:t>
            </w:r>
          </w:p>
        </w:tc>
        <w:tc>
          <w:tcPr>
            <w:tcW w:w="4806" w:type="dxa"/>
            <w:gridSpan w:val="5"/>
            <w:tcBorders>
              <w:top w:val="nil"/>
              <w:left w:val="nil"/>
              <w:bottom w:val="single" w:color="auto" w:sz="4" w:space="0"/>
              <w:right w:val="nil"/>
            </w:tcBorders>
            <w:vAlign w:val="center"/>
          </w:tcPr>
          <w:p>
            <w:pPr>
              <w:widowControl/>
              <w:jc w:val="right"/>
              <w:rPr>
                <w:rFonts w:hint="eastAsia" w:ascii="黑体" w:hAnsi="黑体" w:eastAsia="黑体" w:cs="宋体"/>
                <w:b/>
                <w:bCs/>
                <w:color w:val="000000"/>
                <w:kern w:val="0"/>
                <w:szCs w:val="21"/>
              </w:rPr>
            </w:pPr>
            <w:r>
              <w:rPr>
                <w:rFonts w:ascii="宋体" w:hAnsi="宋体"/>
                <w:sz w:val="24"/>
              </w:rPr>
              <w:t>单位：万元</w:t>
            </w:r>
          </w:p>
        </w:tc>
      </w:tr>
      <w:tr>
        <w:trPr>
          <w:cantSplit/>
          <w:trHeight w:val="232" w:hRule="atLeast"/>
          <w:tblHeader/>
          <w:jc w:val="center"/>
        </w:trPr>
        <w:tc>
          <w:tcPr>
            <w:tcW w:w="1610"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333" w:type="dxa"/>
            <w:gridSpan w:val="3"/>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342"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49"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933"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58"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933" w:type="dxa"/>
            <w:vMerge w:val="restart"/>
            <w:tcBorders>
              <w:top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523"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806" w:type="dxa"/>
            <w:gridSpan w:val="5"/>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rPr>
          <w:cantSplit/>
          <w:trHeight w:val="232" w:hRule="atLeast"/>
          <w:tblHeader/>
          <w:jc w:val="center"/>
        </w:trPr>
        <w:tc>
          <w:tcPr>
            <w:tcW w:w="1610" w:type="dxa"/>
            <w:vMerge w:val="continue"/>
            <w:vAlign w:val="center"/>
          </w:tcPr>
          <w:p>
            <w:pPr>
              <w:widowControl/>
              <w:jc w:val="center"/>
              <w:rPr>
                <w:rFonts w:ascii="黑体" w:hAnsi="黑体" w:eastAsia="黑体" w:cs="宋体"/>
                <w:b/>
                <w:color w:val="000000"/>
                <w:kern w:val="0"/>
                <w:szCs w:val="21"/>
              </w:rPr>
            </w:pPr>
          </w:p>
        </w:tc>
        <w:tc>
          <w:tcPr>
            <w:tcW w:w="97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664"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69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1342" w:type="dxa"/>
            <w:vMerge w:val="continue"/>
            <w:vAlign w:val="center"/>
          </w:tcPr>
          <w:p>
            <w:pPr>
              <w:widowControl/>
              <w:jc w:val="center"/>
              <w:rPr>
                <w:rFonts w:ascii="黑体" w:hAnsi="黑体" w:eastAsia="黑体" w:cs="宋体"/>
                <w:b/>
                <w:color w:val="000000"/>
                <w:kern w:val="0"/>
                <w:szCs w:val="21"/>
              </w:rPr>
            </w:pPr>
          </w:p>
        </w:tc>
        <w:tc>
          <w:tcPr>
            <w:tcW w:w="1249" w:type="dxa"/>
            <w:vMerge w:val="continue"/>
            <w:vAlign w:val="center"/>
          </w:tcPr>
          <w:p>
            <w:pPr>
              <w:widowControl/>
              <w:jc w:val="center"/>
              <w:rPr>
                <w:rFonts w:ascii="黑体" w:hAnsi="黑体" w:eastAsia="黑体" w:cs="宋体"/>
                <w:b/>
                <w:color w:val="000000"/>
                <w:kern w:val="0"/>
                <w:szCs w:val="21"/>
              </w:rPr>
            </w:pPr>
          </w:p>
        </w:tc>
        <w:tc>
          <w:tcPr>
            <w:tcW w:w="933" w:type="dxa"/>
            <w:vMerge w:val="continue"/>
            <w:vAlign w:val="center"/>
          </w:tcPr>
          <w:p>
            <w:pPr>
              <w:widowControl/>
              <w:jc w:val="center"/>
              <w:rPr>
                <w:rFonts w:ascii="黑体" w:hAnsi="黑体" w:eastAsia="黑体" w:cs="宋体"/>
                <w:b/>
                <w:color w:val="000000"/>
                <w:kern w:val="0"/>
                <w:szCs w:val="21"/>
              </w:rPr>
            </w:pPr>
          </w:p>
        </w:tc>
        <w:tc>
          <w:tcPr>
            <w:tcW w:w="558" w:type="dxa"/>
            <w:vMerge w:val="continue"/>
            <w:vAlign w:val="center"/>
          </w:tcPr>
          <w:p>
            <w:pPr>
              <w:widowControl/>
              <w:jc w:val="center"/>
              <w:rPr>
                <w:rFonts w:ascii="黑体" w:hAnsi="黑体" w:eastAsia="黑体" w:cs="宋体"/>
                <w:b/>
                <w:color w:val="000000"/>
                <w:kern w:val="0"/>
                <w:szCs w:val="21"/>
              </w:rPr>
            </w:pPr>
          </w:p>
        </w:tc>
        <w:tc>
          <w:tcPr>
            <w:tcW w:w="933" w:type="dxa"/>
            <w:vMerge w:val="continue"/>
            <w:vAlign w:val="center"/>
          </w:tcPr>
          <w:p>
            <w:pPr>
              <w:widowControl/>
              <w:jc w:val="center"/>
              <w:rPr>
                <w:rFonts w:ascii="黑体" w:hAnsi="黑体" w:eastAsia="黑体" w:cs="宋体"/>
                <w:b/>
                <w:color w:val="000000"/>
                <w:kern w:val="0"/>
                <w:szCs w:val="21"/>
              </w:rPr>
            </w:pPr>
          </w:p>
        </w:tc>
        <w:tc>
          <w:tcPr>
            <w:tcW w:w="523" w:type="dxa"/>
            <w:vMerge w:val="continue"/>
            <w:vAlign w:val="center"/>
          </w:tcPr>
          <w:p>
            <w:pPr>
              <w:widowControl/>
              <w:jc w:val="center"/>
              <w:rPr>
                <w:rFonts w:ascii="黑体" w:hAnsi="黑体" w:eastAsia="黑体" w:cs="宋体"/>
                <w:b/>
                <w:color w:val="000000"/>
                <w:kern w:val="0"/>
                <w:szCs w:val="21"/>
              </w:rPr>
            </w:pPr>
          </w:p>
        </w:tc>
        <w:tc>
          <w:tcPr>
            <w:tcW w:w="96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845" w:type="dxa"/>
            <w:gridSpan w:val="4"/>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rPr>
          <w:cantSplit/>
          <w:trHeight w:val="373" w:hRule="atLeast"/>
          <w:tblHeader/>
          <w:jc w:val="center"/>
        </w:trPr>
        <w:tc>
          <w:tcPr>
            <w:tcW w:w="1610" w:type="dxa"/>
            <w:vMerge w:val="continue"/>
            <w:vAlign w:val="center"/>
          </w:tcPr>
          <w:p>
            <w:pPr>
              <w:widowControl/>
              <w:jc w:val="center"/>
              <w:rPr>
                <w:rFonts w:ascii="黑体" w:hAnsi="黑体" w:eastAsia="黑体" w:cs="宋体"/>
                <w:b/>
                <w:color w:val="000000"/>
                <w:kern w:val="0"/>
                <w:szCs w:val="21"/>
              </w:rPr>
            </w:pPr>
          </w:p>
        </w:tc>
        <w:tc>
          <w:tcPr>
            <w:tcW w:w="971" w:type="dxa"/>
            <w:vMerge w:val="continue"/>
            <w:vAlign w:val="center"/>
          </w:tcPr>
          <w:p>
            <w:pPr>
              <w:widowControl/>
              <w:jc w:val="center"/>
              <w:rPr>
                <w:rFonts w:ascii="黑体" w:hAnsi="黑体" w:eastAsia="黑体" w:cs="宋体"/>
                <w:b/>
                <w:color w:val="000000"/>
                <w:kern w:val="0"/>
                <w:szCs w:val="21"/>
              </w:rPr>
            </w:pPr>
          </w:p>
        </w:tc>
        <w:tc>
          <w:tcPr>
            <w:tcW w:w="1664" w:type="dxa"/>
            <w:vMerge w:val="continue"/>
            <w:vAlign w:val="center"/>
          </w:tcPr>
          <w:p>
            <w:pPr>
              <w:widowControl/>
              <w:jc w:val="center"/>
              <w:rPr>
                <w:rFonts w:ascii="黑体" w:hAnsi="黑体" w:eastAsia="黑体" w:cs="宋体"/>
                <w:b/>
                <w:color w:val="000000"/>
                <w:kern w:val="0"/>
                <w:szCs w:val="21"/>
              </w:rPr>
            </w:pPr>
          </w:p>
        </w:tc>
        <w:tc>
          <w:tcPr>
            <w:tcW w:w="698" w:type="dxa"/>
            <w:vMerge w:val="continue"/>
            <w:vAlign w:val="center"/>
          </w:tcPr>
          <w:p>
            <w:pPr>
              <w:widowControl/>
              <w:jc w:val="center"/>
              <w:rPr>
                <w:rFonts w:ascii="黑体" w:hAnsi="黑体" w:eastAsia="黑体" w:cs="宋体"/>
                <w:b/>
                <w:color w:val="000000"/>
                <w:kern w:val="0"/>
                <w:szCs w:val="21"/>
              </w:rPr>
            </w:pPr>
          </w:p>
        </w:tc>
        <w:tc>
          <w:tcPr>
            <w:tcW w:w="1342" w:type="dxa"/>
            <w:vMerge w:val="continue"/>
            <w:vAlign w:val="center"/>
          </w:tcPr>
          <w:p>
            <w:pPr>
              <w:widowControl/>
              <w:jc w:val="center"/>
              <w:rPr>
                <w:rFonts w:ascii="黑体" w:hAnsi="黑体" w:eastAsia="黑体" w:cs="宋体"/>
                <w:b/>
                <w:color w:val="000000"/>
                <w:kern w:val="0"/>
                <w:szCs w:val="21"/>
              </w:rPr>
            </w:pPr>
          </w:p>
        </w:tc>
        <w:tc>
          <w:tcPr>
            <w:tcW w:w="1249" w:type="dxa"/>
            <w:vMerge w:val="continue"/>
            <w:vAlign w:val="center"/>
          </w:tcPr>
          <w:p>
            <w:pPr>
              <w:widowControl/>
              <w:jc w:val="center"/>
              <w:rPr>
                <w:rFonts w:ascii="黑体" w:hAnsi="黑体" w:eastAsia="黑体" w:cs="宋体"/>
                <w:b/>
                <w:color w:val="000000"/>
                <w:kern w:val="0"/>
                <w:szCs w:val="21"/>
              </w:rPr>
            </w:pPr>
          </w:p>
        </w:tc>
        <w:tc>
          <w:tcPr>
            <w:tcW w:w="933" w:type="dxa"/>
            <w:vMerge w:val="continue"/>
            <w:vAlign w:val="center"/>
          </w:tcPr>
          <w:p>
            <w:pPr>
              <w:widowControl/>
              <w:jc w:val="center"/>
              <w:rPr>
                <w:rFonts w:ascii="黑体" w:hAnsi="黑体" w:eastAsia="黑体" w:cs="宋体"/>
                <w:b/>
                <w:color w:val="000000"/>
                <w:kern w:val="0"/>
                <w:szCs w:val="21"/>
              </w:rPr>
            </w:pPr>
          </w:p>
        </w:tc>
        <w:tc>
          <w:tcPr>
            <w:tcW w:w="558" w:type="dxa"/>
            <w:vMerge w:val="continue"/>
            <w:vAlign w:val="center"/>
          </w:tcPr>
          <w:p>
            <w:pPr>
              <w:widowControl/>
              <w:jc w:val="center"/>
              <w:rPr>
                <w:rFonts w:ascii="黑体" w:hAnsi="黑体" w:eastAsia="黑体" w:cs="宋体"/>
                <w:b/>
                <w:color w:val="000000"/>
                <w:kern w:val="0"/>
                <w:szCs w:val="21"/>
              </w:rPr>
            </w:pPr>
          </w:p>
        </w:tc>
        <w:tc>
          <w:tcPr>
            <w:tcW w:w="933" w:type="dxa"/>
            <w:vMerge w:val="continue"/>
            <w:vAlign w:val="center"/>
          </w:tcPr>
          <w:p>
            <w:pPr>
              <w:widowControl/>
              <w:jc w:val="center"/>
              <w:rPr>
                <w:rFonts w:ascii="黑体" w:hAnsi="黑体" w:eastAsia="黑体" w:cs="宋体"/>
                <w:b/>
                <w:color w:val="000000"/>
                <w:kern w:val="0"/>
                <w:szCs w:val="21"/>
              </w:rPr>
            </w:pPr>
          </w:p>
        </w:tc>
        <w:tc>
          <w:tcPr>
            <w:tcW w:w="523" w:type="dxa"/>
            <w:vMerge w:val="continue"/>
            <w:vAlign w:val="center"/>
          </w:tcPr>
          <w:p>
            <w:pPr>
              <w:widowControl/>
              <w:jc w:val="center"/>
              <w:rPr>
                <w:rFonts w:ascii="黑体" w:hAnsi="黑体" w:eastAsia="黑体" w:cs="宋体"/>
                <w:b/>
                <w:color w:val="000000"/>
                <w:kern w:val="0"/>
                <w:szCs w:val="21"/>
              </w:rPr>
            </w:pPr>
          </w:p>
        </w:tc>
        <w:tc>
          <w:tcPr>
            <w:tcW w:w="961" w:type="dxa"/>
            <w:vMerge w:val="continue"/>
            <w:vAlign w:val="center"/>
          </w:tcPr>
          <w:p>
            <w:pPr>
              <w:widowControl/>
              <w:jc w:val="center"/>
              <w:rPr>
                <w:rFonts w:ascii="黑体" w:hAnsi="黑体" w:eastAsia="黑体" w:cs="宋体"/>
                <w:b/>
                <w:color w:val="000000"/>
                <w:kern w:val="0"/>
                <w:szCs w:val="21"/>
              </w:rPr>
            </w:pPr>
          </w:p>
        </w:tc>
        <w:tc>
          <w:tcPr>
            <w:tcW w:w="96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6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6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6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rPr>
          <w:cantSplit/>
          <w:trHeight w:val="373" w:hRule="atLeast"/>
          <w:tblHeader/>
          <w:jc w:val="center"/>
        </w:trPr>
        <w:tc>
          <w:tcPr>
            <w:tcW w:w="1610" w:type="dxa"/>
            <w:vMerge w:val="continue"/>
            <w:vAlign w:val="center"/>
          </w:tcPr>
          <w:p>
            <w:pPr>
              <w:widowControl/>
              <w:jc w:val="center"/>
              <w:rPr>
                <w:rFonts w:ascii="宋体" w:hAnsi="宋体" w:cs="宋体"/>
                <w:color w:val="000000"/>
                <w:kern w:val="0"/>
                <w:sz w:val="22"/>
              </w:rPr>
            </w:pPr>
          </w:p>
        </w:tc>
        <w:tc>
          <w:tcPr>
            <w:tcW w:w="971" w:type="dxa"/>
            <w:vMerge w:val="continue"/>
            <w:vAlign w:val="center"/>
          </w:tcPr>
          <w:p>
            <w:pPr>
              <w:widowControl/>
              <w:jc w:val="center"/>
              <w:rPr>
                <w:rFonts w:ascii="宋体" w:hAnsi="宋体" w:cs="宋体"/>
                <w:color w:val="000000"/>
                <w:kern w:val="0"/>
                <w:sz w:val="22"/>
              </w:rPr>
            </w:pPr>
          </w:p>
        </w:tc>
        <w:tc>
          <w:tcPr>
            <w:tcW w:w="1664" w:type="dxa"/>
            <w:vMerge w:val="continue"/>
            <w:vAlign w:val="center"/>
          </w:tcPr>
          <w:p>
            <w:pPr>
              <w:widowControl/>
              <w:jc w:val="center"/>
              <w:rPr>
                <w:rFonts w:ascii="宋体" w:hAnsi="宋体" w:cs="宋体"/>
                <w:color w:val="000000"/>
                <w:kern w:val="0"/>
                <w:sz w:val="22"/>
              </w:rPr>
            </w:pPr>
          </w:p>
        </w:tc>
        <w:tc>
          <w:tcPr>
            <w:tcW w:w="698" w:type="dxa"/>
            <w:vMerge w:val="continue"/>
            <w:vAlign w:val="center"/>
          </w:tcPr>
          <w:p>
            <w:pPr>
              <w:widowControl/>
              <w:jc w:val="center"/>
              <w:rPr>
                <w:rFonts w:ascii="宋体" w:hAnsi="宋体" w:cs="宋体"/>
                <w:color w:val="000000"/>
                <w:kern w:val="0"/>
                <w:sz w:val="22"/>
              </w:rPr>
            </w:pPr>
          </w:p>
        </w:tc>
        <w:tc>
          <w:tcPr>
            <w:tcW w:w="1342" w:type="dxa"/>
            <w:vMerge w:val="continue"/>
            <w:vAlign w:val="center"/>
          </w:tcPr>
          <w:p>
            <w:pPr>
              <w:widowControl/>
              <w:jc w:val="center"/>
              <w:rPr>
                <w:rFonts w:ascii="宋体" w:hAnsi="宋体" w:cs="宋体"/>
                <w:color w:val="000000"/>
                <w:kern w:val="0"/>
                <w:sz w:val="22"/>
              </w:rPr>
            </w:pPr>
          </w:p>
        </w:tc>
        <w:tc>
          <w:tcPr>
            <w:tcW w:w="1249" w:type="dxa"/>
            <w:vMerge w:val="continue"/>
            <w:vAlign w:val="center"/>
          </w:tcPr>
          <w:p>
            <w:pPr>
              <w:widowControl/>
              <w:jc w:val="center"/>
              <w:rPr>
                <w:rFonts w:ascii="宋体" w:hAnsi="宋体" w:cs="宋体"/>
                <w:color w:val="000000"/>
                <w:kern w:val="0"/>
                <w:sz w:val="22"/>
              </w:rPr>
            </w:pPr>
          </w:p>
        </w:tc>
        <w:tc>
          <w:tcPr>
            <w:tcW w:w="933" w:type="dxa"/>
            <w:vMerge w:val="continue"/>
            <w:vAlign w:val="center"/>
          </w:tcPr>
          <w:p>
            <w:pPr>
              <w:widowControl/>
              <w:jc w:val="center"/>
              <w:rPr>
                <w:rFonts w:ascii="宋体" w:hAnsi="宋体" w:cs="宋体"/>
                <w:color w:val="000000"/>
                <w:kern w:val="0"/>
                <w:sz w:val="22"/>
              </w:rPr>
            </w:pPr>
          </w:p>
        </w:tc>
        <w:tc>
          <w:tcPr>
            <w:tcW w:w="558" w:type="dxa"/>
            <w:vMerge w:val="continue"/>
            <w:vAlign w:val="center"/>
          </w:tcPr>
          <w:p>
            <w:pPr>
              <w:widowControl/>
              <w:jc w:val="center"/>
              <w:rPr>
                <w:rFonts w:ascii="宋体" w:hAnsi="宋体" w:cs="宋体"/>
                <w:color w:val="000000"/>
                <w:kern w:val="0"/>
                <w:sz w:val="22"/>
              </w:rPr>
            </w:pPr>
          </w:p>
        </w:tc>
        <w:tc>
          <w:tcPr>
            <w:tcW w:w="933" w:type="dxa"/>
            <w:vMerge w:val="continue"/>
            <w:vAlign w:val="center"/>
          </w:tcPr>
          <w:p>
            <w:pPr>
              <w:widowControl/>
              <w:jc w:val="center"/>
              <w:rPr>
                <w:rFonts w:ascii="宋体" w:hAnsi="宋体" w:cs="宋体"/>
                <w:color w:val="000000"/>
                <w:kern w:val="0"/>
                <w:sz w:val="22"/>
              </w:rPr>
            </w:pPr>
          </w:p>
        </w:tc>
        <w:tc>
          <w:tcPr>
            <w:tcW w:w="523" w:type="dxa"/>
            <w:vMerge w:val="continue"/>
            <w:vAlign w:val="center"/>
          </w:tcPr>
          <w:p>
            <w:pPr>
              <w:widowControl/>
              <w:jc w:val="center"/>
              <w:rPr>
                <w:rFonts w:ascii="宋体" w:hAnsi="宋体" w:cs="宋体"/>
                <w:color w:val="000000"/>
                <w:kern w:val="0"/>
                <w:sz w:val="22"/>
              </w:rPr>
            </w:pPr>
          </w:p>
        </w:tc>
        <w:tc>
          <w:tcPr>
            <w:tcW w:w="961" w:type="dxa"/>
            <w:vMerge w:val="continue"/>
            <w:vAlign w:val="center"/>
          </w:tcPr>
          <w:p>
            <w:pPr>
              <w:widowControl/>
              <w:jc w:val="center"/>
              <w:rPr>
                <w:rFonts w:ascii="宋体" w:hAnsi="宋体" w:cs="宋体"/>
                <w:color w:val="000000"/>
                <w:kern w:val="0"/>
                <w:sz w:val="22"/>
              </w:rPr>
            </w:pPr>
          </w:p>
        </w:tc>
        <w:tc>
          <w:tcPr>
            <w:tcW w:w="961" w:type="dxa"/>
            <w:vMerge w:val="continue"/>
            <w:vAlign w:val="center"/>
          </w:tcPr>
          <w:p>
            <w:pPr>
              <w:widowControl/>
              <w:jc w:val="center"/>
              <w:rPr>
                <w:rFonts w:ascii="宋体" w:hAnsi="宋体" w:cs="宋体"/>
                <w:color w:val="000000"/>
                <w:kern w:val="0"/>
                <w:sz w:val="22"/>
              </w:rPr>
            </w:pPr>
          </w:p>
        </w:tc>
        <w:tc>
          <w:tcPr>
            <w:tcW w:w="961" w:type="dxa"/>
            <w:vMerge w:val="continue"/>
            <w:vAlign w:val="center"/>
          </w:tcPr>
          <w:p>
            <w:pPr>
              <w:widowControl/>
              <w:jc w:val="center"/>
              <w:rPr>
                <w:rFonts w:ascii="宋体" w:hAnsi="宋体" w:cs="宋体"/>
                <w:color w:val="000000"/>
                <w:kern w:val="0"/>
                <w:sz w:val="22"/>
              </w:rPr>
            </w:pPr>
          </w:p>
        </w:tc>
        <w:tc>
          <w:tcPr>
            <w:tcW w:w="961" w:type="dxa"/>
            <w:vMerge w:val="continue"/>
            <w:vAlign w:val="center"/>
          </w:tcPr>
          <w:p>
            <w:pPr>
              <w:widowControl/>
              <w:jc w:val="center"/>
              <w:rPr>
                <w:rFonts w:ascii="宋体" w:hAnsi="宋体" w:cs="宋体"/>
                <w:color w:val="000000"/>
                <w:kern w:val="0"/>
                <w:sz w:val="22"/>
              </w:rPr>
            </w:pPr>
          </w:p>
        </w:tc>
        <w:tc>
          <w:tcPr>
            <w:tcW w:w="962" w:type="dxa"/>
            <w:vMerge w:val="continue"/>
            <w:vAlign w:val="center"/>
          </w:tcPr>
          <w:p>
            <w:pPr>
              <w:widowControl/>
              <w:jc w:val="center"/>
              <w:rPr>
                <w:rFonts w:ascii="宋体" w:hAnsi="宋体" w:cs="宋体"/>
                <w:color w:val="000000"/>
                <w:kern w:val="0"/>
                <w:sz w:val="22"/>
              </w:rPr>
            </w:pPr>
          </w:p>
        </w:tc>
      </w:tr>
      <w:tr>
        <w:trPr>
          <w:cantSplit/>
          <w:trHeight w:val="312" w:hRule="atLeast"/>
          <w:tblHeader/>
          <w:jc w:val="center"/>
        </w:trPr>
        <w:tc>
          <w:tcPr>
            <w:tcW w:w="1610" w:type="dxa"/>
            <w:vMerge w:val="continue"/>
            <w:vAlign w:val="center"/>
          </w:tcPr>
          <w:p>
            <w:pPr>
              <w:widowControl/>
              <w:jc w:val="left"/>
              <w:rPr>
                <w:rFonts w:ascii="宋体" w:hAnsi="宋体" w:cs="宋体"/>
                <w:color w:val="000000"/>
                <w:kern w:val="0"/>
                <w:szCs w:val="21"/>
              </w:rPr>
            </w:pPr>
          </w:p>
        </w:tc>
        <w:tc>
          <w:tcPr>
            <w:tcW w:w="971" w:type="dxa"/>
            <w:vMerge w:val="continue"/>
            <w:vAlign w:val="center"/>
          </w:tcPr>
          <w:p>
            <w:pPr>
              <w:widowControl/>
              <w:jc w:val="left"/>
              <w:rPr>
                <w:rFonts w:ascii="宋体" w:hAnsi="宋体" w:cs="宋体"/>
                <w:color w:val="000000"/>
                <w:kern w:val="0"/>
                <w:szCs w:val="21"/>
              </w:rPr>
            </w:pPr>
          </w:p>
        </w:tc>
        <w:tc>
          <w:tcPr>
            <w:tcW w:w="1664" w:type="dxa"/>
            <w:vMerge w:val="continue"/>
            <w:vAlign w:val="center"/>
          </w:tcPr>
          <w:p>
            <w:pPr>
              <w:widowControl/>
              <w:jc w:val="left"/>
              <w:rPr>
                <w:rFonts w:ascii="宋体" w:hAnsi="宋体" w:cs="宋体"/>
                <w:color w:val="000000"/>
                <w:kern w:val="0"/>
                <w:szCs w:val="21"/>
              </w:rPr>
            </w:pPr>
          </w:p>
        </w:tc>
        <w:tc>
          <w:tcPr>
            <w:tcW w:w="698" w:type="dxa"/>
            <w:vMerge w:val="continue"/>
            <w:vAlign w:val="center"/>
          </w:tcPr>
          <w:p>
            <w:pPr>
              <w:widowControl/>
              <w:jc w:val="left"/>
              <w:rPr>
                <w:rFonts w:ascii="宋体" w:hAnsi="宋体" w:cs="宋体"/>
                <w:color w:val="000000"/>
                <w:kern w:val="0"/>
                <w:szCs w:val="21"/>
              </w:rPr>
            </w:pPr>
          </w:p>
        </w:tc>
        <w:tc>
          <w:tcPr>
            <w:tcW w:w="1342" w:type="dxa"/>
            <w:vMerge w:val="continue"/>
            <w:vAlign w:val="center"/>
          </w:tcPr>
          <w:p>
            <w:pPr>
              <w:widowControl/>
              <w:jc w:val="left"/>
              <w:rPr>
                <w:rFonts w:ascii="宋体" w:hAnsi="宋体" w:cs="宋体"/>
                <w:color w:val="000000"/>
                <w:kern w:val="0"/>
                <w:szCs w:val="21"/>
              </w:rPr>
            </w:pPr>
          </w:p>
        </w:tc>
        <w:tc>
          <w:tcPr>
            <w:tcW w:w="1249" w:type="dxa"/>
            <w:vMerge w:val="continue"/>
            <w:vAlign w:val="center"/>
          </w:tcPr>
          <w:p>
            <w:pPr>
              <w:widowControl/>
              <w:jc w:val="left"/>
              <w:rPr>
                <w:rFonts w:ascii="宋体" w:hAnsi="宋体" w:cs="宋体"/>
                <w:color w:val="000000"/>
                <w:kern w:val="0"/>
                <w:szCs w:val="21"/>
              </w:rPr>
            </w:pPr>
          </w:p>
        </w:tc>
        <w:tc>
          <w:tcPr>
            <w:tcW w:w="933" w:type="dxa"/>
            <w:vMerge w:val="continue"/>
            <w:vAlign w:val="center"/>
          </w:tcPr>
          <w:p>
            <w:pPr>
              <w:widowControl/>
              <w:jc w:val="left"/>
              <w:rPr>
                <w:rFonts w:ascii="宋体" w:hAnsi="宋体" w:cs="宋体"/>
                <w:color w:val="000000"/>
                <w:kern w:val="0"/>
                <w:szCs w:val="21"/>
              </w:rPr>
            </w:pPr>
          </w:p>
        </w:tc>
        <w:tc>
          <w:tcPr>
            <w:tcW w:w="558" w:type="dxa"/>
            <w:vMerge w:val="continue"/>
            <w:vAlign w:val="center"/>
          </w:tcPr>
          <w:p>
            <w:pPr>
              <w:widowControl/>
              <w:jc w:val="left"/>
              <w:rPr>
                <w:rFonts w:ascii="宋体" w:hAnsi="宋体" w:cs="宋体"/>
                <w:color w:val="000000"/>
                <w:kern w:val="0"/>
                <w:szCs w:val="21"/>
              </w:rPr>
            </w:pPr>
          </w:p>
        </w:tc>
        <w:tc>
          <w:tcPr>
            <w:tcW w:w="933" w:type="dxa"/>
            <w:vMerge w:val="continue"/>
            <w:vAlign w:val="center"/>
          </w:tcPr>
          <w:p>
            <w:pPr>
              <w:widowControl/>
              <w:jc w:val="right"/>
              <w:rPr>
                <w:rFonts w:ascii="宋体" w:hAnsi="宋体" w:cs="宋体"/>
                <w:color w:val="000000"/>
                <w:kern w:val="0"/>
                <w:szCs w:val="21"/>
              </w:rPr>
            </w:pPr>
          </w:p>
        </w:tc>
        <w:tc>
          <w:tcPr>
            <w:tcW w:w="523" w:type="dxa"/>
            <w:vMerge w:val="continue"/>
            <w:vAlign w:val="center"/>
          </w:tcPr>
          <w:p>
            <w:pPr>
              <w:widowControl/>
              <w:jc w:val="right"/>
              <w:rPr>
                <w:rFonts w:ascii="宋体" w:hAnsi="宋体" w:cs="宋体"/>
                <w:color w:val="000000"/>
                <w:kern w:val="0"/>
                <w:szCs w:val="21"/>
              </w:rPr>
            </w:pPr>
          </w:p>
        </w:tc>
        <w:tc>
          <w:tcPr>
            <w:tcW w:w="961" w:type="dxa"/>
            <w:vMerge w:val="continue"/>
            <w:vAlign w:val="center"/>
          </w:tcPr>
          <w:p>
            <w:pPr>
              <w:widowControl/>
              <w:jc w:val="right"/>
              <w:rPr>
                <w:rFonts w:ascii="宋体" w:hAnsi="宋体" w:cs="宋体"/>
                <w:color w:val="000000"/>
                <w:kern w:val="0"/>
                <w:szCs w:val="21"/>
              </w:rPr>
            </w:pPr>
          </w:p>
        </w:tc>
        <w:tc>
          <w:tcPr>
            <w:tcW w:w="961" w:type="dxa"/>
            <w:vMerge w:val="continue"/>
            <w:vAlign w:val="center"/>
          </w:tcPr>
          <w:p>
            <w:pPr>
              <w:widowControl/>
              <w:jc w:val="right"/>
              <w:rPr>
                <w:rFonts w:ascii="宋体" w:hAnsi="宋体" w:cs="宋体"/>
                <w:color w:val="000000"/>
                <w:kern w:val="0"/>
                <w:szCs w:val="21"/>
              </w:rPr>
            </w:pPr>
          </w:p>
        </w:tc>
        <w:tc>
          <w:tcPr>
            <w:tcW w:w="961" w:type="dxa"/>
            <w:vMerge w:val="continue"/>
            <w:vAlign w:val="center"/>
          </w:tcPr>
          <w:p>
            <w:pPr>
              <w:widowControl/>
              <w:jc w:val="right"/>
              <w:rPr>
                <w:rFonts w:ascii="宋体" w:hAnsi="宋体" w:cs="宋体"/>
                <w:color w:val="000000"/>
                <w:kern w:val="0"/>
                <w:szCs w:val="21"/>
              </w:rPr>
            </w:pPr>
          </w:p>
        </w:tc>
        <w:tc>
          <w:tcPr>
            <w:tcW w:w="961" w:type="dxa"/>
            <w:vMerge w:val="continue"/>
            <w:vAlign w:val="center"/>
          </w:tcPr>
          <w:p>
            <w:pPr>
              <w:widowControl/>
              <w:jc w:val="right"/>
              <w:rPr>
                <w:rFonts w:ascii="宋体" w:hAnsi="宋体" w:cs="宋体"/>
                <w:color w:val="000000"/>
                <w:kern w:val="0"/>
                <w:szCs w:val="21"/>
              </w:rPr>
            </w:pPr>
          </w:p>
        </w:tc>
        <w:tc>
          <w:tcPr>
            <w:tcW w:w="962" w:type="dxa"/>
            <w:vMerge w:val="continue"/>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71" w:type="dxa"/>
            <w:vAlign w:val="center"/>
          </w:tcPr>
          <w:p>
            <w:pPr>
              <w:widowControl/>
              <w:jc w:val="left"/>
              <w:rPr>
                <w:rFonts w:ascii="宋体" w:hAnsi="宋体" w:cs="宋体"/>
                <w:color w:val="000000"/>
                <w:kern w:val="0"/>
                <w:szCs w:val="21"/>
              </w:rPr>
            </w:pPr>
          </w:p>
        </w:tc>
        <w:tc>
          <w:tcPr>
            <w:tcW w:w="1664" w:type="dxa"/>
            <w:vAlign w:val="center"/>
          </w:tcPr>
          <w:p>
            <w:pPr>
              <w:widowControl/>
              <w:jc w:val="left"/>
              <w:rPr>
                <w:rFonts w:ascii="宋体" w:hAnsi="宋体" w:cs="宋体"/>
                <w:color w:val="000000"/>
                <w:kern w:val="0"/>
                <w:szCs w:val="21"/>
              </w:rPr>
            </w:pPr>
          </w:p>
        </w:tc>
        <w:tc>
          <w:tcPr>
            <w:tcW w:w="698" w:type="dxa"/>
            <w:vAlign w:val="center"/>
          </w:tcPr>
          <w:p>
            <w:pPr>
              <w:widowControl/>
              <w:jc w:val="left"/>
              <w:rPr>
                <w:rFonts w:ascii="宋体" w:hAnsi="宋体" w:cs="宋体"/>
                <w:color w:val="000000"/>
                <w:kern w:val="0"/>
                <w:szCs w:val="21"/>
              </w:rPr>
            </w:pPr>
          </w:p>
        </w:tc>
        <w:tc>
          <w:tcPr>
            <w:tcW w:w="1342" w:type="dxa"/>
            <w:vAlign w:val="center"/>
          </w:tcPr>
          <w:p>
            <w:pPr>
              <w:widowControl/>
              <w:jc w:val="left"/>
              <w:rPr>
                <w:rFonts w:ascii="宋体" w:hAnsi="宋体" w:cs="宋体"/>
                <w:color w:val="000000"/>
                <w:kern w:val="0"/>
                <w:szCs w:val="21"/>
              </w:rPr>
            </w:pPr>
          </w:p>
        </w:tc>
        <w:tc>
          <w:tcPr>
            <w:tcW w:w="1249" w:type="dxa"/>
            <w:vAlign w:val="center"/>
          </w:tcPr>
          <w:p>
            <w:pPr>
              <w:widowControl/>
              <w:jc w:val="left"/>
              <w:rPr>
                <w:rFonts w:ascii="宋体" w:hAnsi="宋体" w:cs="宋体"/>
                <w:color w:val="000000"/>
                <w:kern w:val="0"/>
                <w:szCs w:val="21"/>
              </w:rPr>
            </w:pPr>
          </w:p>
        </w:tc>
        <w:tc>
          <w:tcPr>
            <w:tcW w:w="933" w:type="dxa"/>
            <w:vAlign w:val="center"/>
          </w:tcPr>
          <w:p>
            <w:pPr>
              <w:widowControl/>
              <w:jc w:val="left"/>
              <w:rPr>
                <w:rFonts w:ascii="宋体" w:hAnsi="宋体" w:cs="宋体"/>
                <w:color w:val="000000"/>
                <w:kern w:val="0"/>
                <w:szCs w:val="21"/>
              </w:rPr>
            </w:pPr>
          </w:p>
        </w:tc>
        <w:tc>
          <w:tcPr>
            <w:tcW w:w="558" w:type="dxa"/>
            <w:vAlign w:val="center"/>
          </w:tcPr>
          <w:p>
            <w:pPr>
              <w:widowControl/>
              <w:jc w:val="left"/>
              <w:rPr>
                <w:rFonts w:ascii="宋体" w:hAnsi="宋体" w:cs="宋体"/>
                <w:color w:val="000000"/>
                <w:kern w:val="0"/>
                <w:szCs w:val="21"/>
              </w:rPr>
            </w:pPr>
          </w:p>
        </w:tc>
        <w:tc>
          <w:tcPr>
            <w:tcW w:w="933" w:type="dxa"/>
            <w:vAlign w:val="center"/>
          </w:tcPr>
          <w:p>
            <w:pPr>
              <w:widowControl/>
              <w:jc w:val="right"/>
              <w:rPr>
                <w:rFonts w:ascii="宋体" w:hAnsi="宋体" w:cs="宋体"/>
                <w:color w:val="000000"/>
                <w:kern w:val="0"/>
                <w:szCs w:val="21"/>
              </w:rPr>
            </w:pPr>
          </w:p>
        </w:tc>
        <w:tc>
          <w:tcPr>
            <w:tcW w:w="523"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222.16</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222.16</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市人大常委会会议厅</w:t>
            </w:r>
            <w:r>
              <w:rPr>
                <w:rFonts w:hint="eastAsia" w:ascii="宋体" w:hAnsi="宋体" w:cs="宋体"/>
                <w:color w:val="000000"/>
                <w:kern w:val="0"/>
                <w:szCs w:val="21"/>
                <w:lang w:eastAsia="zh-CN"/>
              </w:rPr>
              <w:t>无</w:t>
            </w:r>
            <w:r>
              <w:rPr>
                <w:rFonts w:hint="eastAsia" w:ascii="宋体" w:hAnsi="宋体" w:cs="宋体"/>
                <w:color w:val="000000"/>
                <w:kern w:val="0"/>
                <w:szCs w:val="21"/>
              </w:rPr>
              <w:t>线表决和无纸化数字会议系统等购置项目</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A0201020699</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其他网络控制设备</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集中控制系统</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115000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11.50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11.50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市人大常委会会议厅</w:t>
            </w:r>
            <w:r>
              <w:rPr>
                <w:rFonts w:hint="eastAsia" w:ascii="宋体" w:hAnsi="宋体" w:cs="宋体"/>
                <w:color w:val="000000"/>
                <w:kern w:val="0"/>
                <w:szCs w:val="21"/>
                <w:lang w:eastAsia="zh-CN"/>
              </w:rPr>
              <w:t>无</w:t>
            </w:r>
            <w:r>
              <w:rPr>
                <w:rFonts w:hint="eastAsia" w:ascii="宋体" w:hAnsi="宋体" w:cs="宋体"/>
                <w:color w:val="000000"/>
                <w:kern w:val="0"/>
                <w:szCs w:val="21"/>
              </w:rPr>
              <w:t>线表决和无纸化数字会议系统等购置项目</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A020299</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其他办公设备</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有线表决系统和无纸化数字会议系统</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1000000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100.00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100.00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市人大常委会会议厅</w:t>
            </w:r>
            <w:r>
              <w:rPr>
                <w:rFonts w:hint="eastAsia" w:ascii="宋体" w:hAnsi="宋体" w:cs="宋体"/>
                <w:color w:val="000000"/>
                <w:kern w:val="0"/>
                <w:szCs w:val="21"/>
                <w:lang w:eastAsia="zh-CN"/>
              </w:rPr>
              <w:t>无</w:t>
            </w:r>
            <w:r>
              <w:rPr>
                <w:rFonts w:hint="eastAsia" w:ascii="宋体" w:hAnsi="宋体" w:cs="宋体"/>
                <w:color w:val="000000"/>
                <w:kern w:val="0"/>
                <w:szCs w:val="21"/>
              </w:rPr>
              <w:t>线表决和无纸化数字会议系统等购置项目</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A02091207</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数码音频工作站及配套设</w:t>
            </w:r>
            <w:r>
              <w:rPr>
                <w:rFonts w:ascii="宋体" w:hAnsi="宋体" w:cs="宋体"/>
                <w:color w:val="000000"/>
                <w:kern w:val="0"/>
                <w:szCs w:val="21"/>
              </w:rPr>
              <w:t xml:space="preserve"> 备</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音响系统</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78000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7.80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7.80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办公设备及软件购置</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A060599</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其他柜类</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上面玻璃（加顶柜））</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0.30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办公设备及软件购置</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奔图</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0.54</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0.54</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办公设备及软件购置</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A0201060901</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扫描仪</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维山</w:t>
            </w:r>
            <w:r>
              <w:rPr>
                <w:rFonts w:ascii="宋体" w:hAnsi="宋体" w:cs="宋体"/>
                <w:color w:val="000000"/>
                <w:kern w:val="0"/>
                <w:szCs w:val="21"/>
              </w:rPr>
              <w:t>VS高清拍摄仪</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2200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办公设备及软件购置</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A020204</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多功能一体机</w:t>
            </w:r>
          </w:p>
        </w:tc>
        <w:tc>
          <w:tcPr>
            <w:tcW w:w="933" w:type="dxa"/>
            <w:vAlign w:val="center"/>
          </w:tcPr>
          <w:p>
            <w:pPr>
              <w:widowControl/>
              <w:jc w:val="left"/>
              <w:rPr>
                <w:rFonts w:ascii="宋体" w:hAnsi="宋体" w:cs="宋体"/>
                <w:color w:val="000000"/>
                <w:kern w:val="0"/>
                <w:szCs w:val="21"/>
              </w:rPr>
            </w:pPr>
            <w:r>
              <w:rPr>
                <w:rFonts w:ascii="宋体" w:hAnsi="宋体" w:cs="宋体"/>
                <w:color w:val="000000"/>
                <w:kern w:val="0"/>
                <w:szCs w:val="21"/>
              </w:rPr>
              <w:t>HP132fn一体机</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1.20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办公设备及软件购置</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w:t>
            </w:r>
          </w:p>
        </w:tc>
        <w:tc>
          <w:tcPr>
            <w:tcW w:w="933" w:type="dxa"/>
            <w:vAlign w:val="center"/>
          </w:tcPr>
          <w:p>
            <w:pPr>
              <w:widowControl/>
              <w:jc w:val="left"/>
              <w:rPr>
                <w:rFonts w:ascii="宋体" w:hAnsi="宋体" w:cs="宋体"/>
                <w:color w:val="000000"/>
                <w:kern w:val="0"/>
                <w:szCs w:val="21"/>
              </w:rPr>
            </w:pPr>
            <w:r>
              <w:rPr>
                <w:rFonts w:ascii="宋体" w:hAnsi="宋体" w:cs="宋体"/>
                <w:color w:val="000000"/>
                <w:kern w:val="0"/>
                <w:szCs w:val="21"/>
              </w:rPr>
              <w:t>P M701N黑白激光打印机</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6500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0.65</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办公设备及软件购置</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A02091201</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录放音机</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索尼</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2</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0.10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办公设备及软件购置</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A0201080101</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操作系统</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软件</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715</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7.15</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7.15</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办公设备及软件购置</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联想扬天</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2.70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2.70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市人大办公楼内外环境整治等项目经费</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B0899</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其他建筑物、构筑物修缮</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265000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26.50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26.50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市人大办公楼内外环境整治等项目经费</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B0899</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其他建筑物、构筑物修缮</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80000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8.00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市人大办公楼内外环境整治等项目经费</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B0899</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其他建筑物、构筑物修缮</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270000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27.00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27.00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市人大办公楼内外环境整治等项目经费</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B0899</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其他建筑物、构筑物修缮</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92000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9.20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9.20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r>
        <w:trPr>
          <w:cantSplit/>
          <w:trHeight w:val="312" w:hRule="atLeast"/>
          <w:jc w:val="center"/>
        </w:trPr>
        <w:tc>
          <w:tcPr>
            <w:tcW w:w="16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唐山市人民代表大会常务委员会</w:t>
            </w:r>
          </w:p>
        </w:tc>
        <w:tc>
          <w:tcPr>
            <w:tcW w:w="971" w:type="dxa"/>
            <w:vAlign w:val="center"/>
          </w:tcPr>
          <w:p>
            <w:pPr>
              <w:widowControl/>
              <w:jc w:val="left"/>
              <w:rPr>
                <w:rFonts w:ascii="宋体" w:hAnsi="宋体" w:cs="宋体"/>
                <w:color w:val="000000"/>
                <w:kern w:val="0"/>
                <w:szCs w:val="21"/>
              </w:rPr>
            </w:pPr>
            <w:r>
              <w:rPr>
                <w:rFonts w:ascii="宋体" w:hAnsi="宋体" w:cs="宋体"/>
                <w:color w:val="000000"/>
                <w:kern w:val="0"/>
                <w:szCs w:val="21"/>
              </w:rPr>
              <w:t>2010199</w:t>
            </w:r>
          </w:p>
        </w:tc>
        <w:tc>
          <w:tcPr>
            <w:tcW w:w="166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市人大办公楼内外环境整治等项目经费</w:t>
            </w:r>
          </w:p>
        </w:tc>
        <w:tc>
          <w:tcPr>
            <w:tcW w:w="69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42" w:type="dxa"/>
            <w:vAlign w:val="center"/>
          </w:tcPr>
          <w:p>
            <w:pPr>
              <w:widowControl/>
              <w:jc w:val="left"/>
              <w:rPr>
                <w:rFonts w:ascii="宋体" w:hAnsi="宋体" w:cs="宋体"/>
                <w:color w:val="000000"/>
                <w:kern w:val="0"/>
                <w:szCs w:val="21"/>
              </w:rPr>
            </w:pPr>
            <w:r>
              <w:rPr>
                <w:rFonts w:ascii="宋体" w:hAnsi="宋体" w:cs="宋体"/>
                <w:color w:val="000000"/>
                <w:kern w:val="0"/>
                <w:szCs w:val="21"/>
              </w:rPr>
              <w:t>B0899</w:t>
            </w:r>
          </w:p>
        </w:tc>
        <w:tc>
          <w:tcPr>
            <w:tcW w:w="1249"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其他建筑物、构筑物修缮</w:t>
            </w:r>
          </w:p>
        </w:tc>
        <w:tc>
          <w:tcPr>
            <w:tcW w:w="93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55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933" w:type="dxa"/>
            <w:vAlign w:val="center"/>
          </w:tcPr>
          <w:p>
            <w:pPr>
              <w:widowControl/>
              <w:jc w:val="right"/>
              <w:rPr>
                <w:rFonts w:ascii="宋体" w:hAnsi="宋体" w:cs="宋体"/>
                <w:color w:val="000000"/>
                <w:kern w:val="0"/>
                <w:szCs w:val="21"/>
              </w:rPr>
            </w:pPr>
            <w:r>
              <w:rPr>
                <w:rFonts w:ascii="宋体" w:hAnsi="宋体" w:cs="宋体"/>
                <w:color w:val="000000"/>
                <w:kern w:val="0"/>
                <w:szCs w:val="21"/>
              </w:rPr>
              <w:t>193000</w:t>
            </w:r>
          </w:p>
        </w:tc>
        <w:tc>
          <w:tcPr>
            <w:tcW w:w="523"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19.30</w:t>
            </w:r>
          </w:p>
        </w:tc>
        <w:tc>
          <w:tcPr>
            <w:tcW w:w="961" w:type="dxa"/>
            <w:vAlign w:val="center"/>
          </w:tcPr>
          <w:p>
            <w:pPr>
              <w:widowControl/>
              <w:jc w:val="right"/>
              <w:rPr>
                <w:rFonts w:ascii="宋体" w:hAnsi="宋体" w:cs="宋体"/>
                <w:color w:val="000000"/>
                <w:kern w:val="0"/>
                <w:szCs w:val="21"/>
              </w:rPr>
            </w:pPr>
            <w:r>
              <w:rPr>
                <w:rFonts w:ascii="宋体" w:hAnsi="宋体" w:cs="宋体"/>
                <w:color w:val="000000"/>
                <w:kern w:val="0"/>
                <w:szCs w:val="21"/>
              </w:rPr>
              <w:t>19.30</w:t>
            </w:r>
          </w:p>
        </w:tc>
        <w:tc>
          <w:tcPr>
            <w:tcW w:w="961" w:type="dxa"/>
            <w:vAlign w:val="center"/>
          </w:tcPr>
          <w:p>
            <w:pPr>
              <w:widowControl/>
              <w:jc w:val="right"/>
              <w:rPr>
                <w:rFonts w:ascii="宋体" w:hAnsi="宋体" w:cs="宋体"/>
                <w:color w:val="000000"/>
                <w:kern w:val="0"/>
                <w:szCs w:val="21"/>
              </w:rPr>
            </w:pPr>
          </w:p>
        </w:tc>
        <w:tc>
          <w:tcPr>
            <w:tcW w:w="961" w:type="dxa"/>
            <w:vAlign w:val="center"/>
          </w:tcPr>
          <w:p>
            <w:pPr>
              <w:widowControl/>
              <w:jc w:val="right"/>
              <w:rPr>
                <w:rFonts w:ascii="宋体" w:hAnsi="宋体" w:cs="宋体"/>
                <w:color w:val="000000"/>
                <w:kern w:val="0"/>
                <w:szCs w:val="21"/>
              </w:rPr>
            </w:pPr>
          </w:p>
        </w:tc>
        <w:tc>
          <w:tcPr>
            <w:tcW w:w="962" w:type="dxa"/>
            <w:vAlign w:val="center"/>
          </w:tcPr>
          <w:p>
            <w:pPr>
              <w:widowControl/>
              <w:jc w:val="right"/>
              <w:rPr>
                <w:rFonts w:ascii="宋体" w:hAnsi="宋体" w:cs="宋体"/>
                <w:color w:val="000000"/>
                <w:kern w:val="0"/>
                <w:szCs w:val="21"/>
              </w:rPr>
            </w:pPr>
          </w:p>
        </w:tc>
      </w:tr>
    </w:tbl>
    <w:p>
      <w:pPr>
        <w:spacing w:line="20" w:lineRule="exact"/>
        <w:jc w:val="left"/>
        <w:rPr>
          <w:rFonts w:hint="eastAsia"/>
        </w:rPr>
      </w:pPr>
    </w:p>
    <w:p>
      <w:pPr>
        <w:jc w:val="left"/>
        <w:sectPr>
          <w:headerReference r:id="rId4" w:type="default"/>
          <w:pgSz w:w="16838" w:h="11906" w:orient="landscape"/>
          <w:pgMar w:top="1800" w:right="1440" w:bottom="1800" w:left="1440" w:header="851" w:footer="992" w:gutter="0"/>
          <w:cols w:space="720" w:num="1"/>
          <w:docGrid w:type="lines" w:linePitch="312"/>
        </w:sectPr>
      </w:pPr>
    </w:p>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hint="eastAsia"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lang w:val="en-US" w:eastAsia="zh-CN"/>
        </w:rPr>
        <w:t>2017年</w:t>
      </w:r>
      <w:r>
        <w:rPr>
          <w:rFonts w:hint="eastAsia" w:ascii="仿宋_GB2312" w:hAnsi="黑体" w:eastAsia="仿宋_GB2312" w:cs="Times New Roman"/>
          <w:sz w:val="32"/>
          <w:szCs w:val="32"/>
        </w:rPr>
        <w:t>末固定资产金额为</w:t>
      </w:r>
      <w:r>
        <w:rPr>
          <w:rFonts w:hint="eastAsia" w:ascii="仿宋_GB2312" w:hAnsi="黑体" w:eastAsia="仿宋_GB2312" w:cs="Times New Roman"/>
          <w:sz w:val="32"/>
          <w:szCs w:val="32"/>
          <w:lang w:val="en-US" w:eastAsia="zh-CN"/>
        </w:rPr>
        <w:t>3742.79</w:t>
      </w:r>
      <w:r>
        <w:rPr>
          <w:rFonts w:hint="eastAsia" w:ascii="仿宋_GB2312" w:hAnsi="黑体" w:eastAsia="仿宋_GB2312" w:cs="Times New Roman"/>
          <w:sz w:val="32"/>
          <w:szCs w:val="32"/>
        </w:rPr>
        <w:t>万元（详见下表），本年度拟购置固定资产主要为</w:t>
      </w:r>
      <w:r>
        <w:rPr>
          <w:rFonts w:hint="eastAsia" w:ascii="仿宋_GB2312" w:hAnsi="黑体" w:eastAsia="仿宋_GB2312" w:cs="Times New Roman"/>
          <w:sz w:val="32"/>
          <w:szCs w:val="32"/>
          <w:lang w:eastAsia="zh-CN"/>
        </w:rPr>
        <w:t>笔记本电脑、碎纸机、办公桌椅</w:t>
      </w:r>
      <w:r>
        <w:rPr>
          <w:rFonts w:hint="eastAsia" w:ascii="仿宋_GB2312" w:hAnsi="黑体" w:eastAsia="仿宋_GB2312" w:cs="Times New Roman"/>
          <w:sz w:val="32"/>
          <w:szCs w:val="32"/>
        </w:rPr>
        <w:t>等</w:t>
      </w:r>
      <w:r>
        <w:rPr>
          <w:rFonts w:hint="eastAsia" w:ascii="仿宋_GB2312" w:hAnsi="黑体" w:eastAsia="仿宋_GB2312" w:cs="Times New Roman"/>
          <w:sz w:val="32"/>
          <w:szCs w:val="32"/>
          <w:lang w:eastAsia="zh-CN"/>
        </w:rPr>
        <w:t>，共计</w:t>
      </w:r>
      <w:r>
        <w:rPr>
          <w:rFonts w:hint="eastAsia" w:ascii="仿宋_GB2312" w:hAnsi="黑体" w:eastAsia="仿宋_GB2312" w:cs="Times New Roman"/>
          <w:sz w:val="32"/>
          <w:szCs w:val="32"/>
          <w:lang w:val="en-US" w:eastAsia="zh-CN"/>
        </w:rPr>
        <w:t>69.48万元，均是20万元以下的设备。</w:t>
      </w:r>
    </w:p>
    <w:p>
      <w:pPr>
        <w:ind w:firstLine="640"/>
        <w:rPr>
          <w:rFonts w:ascii="仿宋_GB2312" w:hAnsi="黑体" w:eastAsia="仿宋_GB2312" w:cs="Times New Roman"/>
          <w:color w:val="FF0000"/>
          <w:sz w:val="32"/>
          <w:szCs w:val="32"/>
        </w:rPr>
      </w:pPr>
    </w:p>
    <w:tbl>
      <w:tblPr>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rPr>
          <w:trHeight w:val="705" w:hRule="atLeast"/>
        </w:trPr>
        <w:tc>
          <w:tcPr>
            <w:tcW w:w="13482" w:type="dxa"/>
            <w:gridSpan w:val="3"/>
            <w:tcBorders>
              <w:top w:val="nil"/>
              <w:left w:val="nil"/>
              <w:bottom w:val="nil"/>
              <w:right w:val="nil"/>
            </w:tcBorders>
            <w:textDirection w:val="lrTb"/>
            <w:vAlign w:val="center"/>
          </w:tcPr>
          <w:p>
            <w:pPr>
              <w:widowControl/>
              <w:jc w:val="center"/>
              <w:rPr>
                <w:rFonts w:ascii="宋体" w:hAnsi="宋体" w:eastAsia="宋体" w:cs="宋体"/>
                <w:b/>
                <w:bCs/>
                <w:kern w:val="0"/>
                <w:sz w:val="32"/>
                <w:szCs w:val="32"/>
              </w:rPr>
            </w:pPr>
            <w:r>
              <w:rPr>
                <w:rFonts w:hint="eastAsia" w:ascii="宋体" w:hAnsi="宋体" w:cs="宋体"/>
                <w:b/>
                <w:bCs/>
                <w:kern w:val="0"/>
                <w:sz w:val="32"/>
                <w:szCs w:val="32"/>
                <w:lang w:eastAsia="zh-CN"/>
              </w:rPr>
              <w:t>唐山市人大常委会</w:t>
            </w:r>
            <w:r>
              <w:rPr>
                <w:rFonts w:hint="eastAsia" w:ascii="宋体" w:hAnsi="宋体" w:eastAsia="宋体" w:cs="宋体"/>
                <w:b/>
                <w:bCs/>
                <w:kern w:val="0"/>
                <w:sz w:val="32"/>
                <w:szCs w:val="32"/>
              </w:rPr>
              <w:t>部门固定资产占用情况表</w:t>
            </w:r>
          </w:p>
        </w:tc>
      </w:tr>
      <w:tr>
        <w:trPr>
          <w:trHeight w:val="510" w:hRule="atLeast"/>
        </w:trPr>
        <w:tc>
          <w:tcPr>
            <w:tcW w:w="8379" w:type="dxa"/>
            <w:gridSpan w:val="2"/>
            <w:tcBorders>
              <w:top w:val="nil"/>
              <w:left w:val="nil"/>
              <w:bottom w:val="nil"/>
              <w:right w:val="nil"/>
            </w:tcBorders>
            <w:textDirection w:val="lrTb"/>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p>
        </w:tc>
        <w:tc>
          <w:tcPr>
            <w:tcW w:w="5103" w:type="dxa"/>
            <w:tcBorders>
              <w:top w:val="nil"/>
              <w:left w:val="nil"/>
              <w:bottom w:val="nil"/>
              <w:right w:val="nil"/>
            </w:tcBorders>
            <w:textDirection w:val="lrTb"/>
            <w:vAlign w:val="center"/>
          </w:tcPr>
          <w:p>
            <w:pPr>
              <w:widowControl/>
              <w:jc w:val="left"/>
              <w:rPr>
                <w:rFonts w:ascii="宋体" w:hAnsi="宋体" w:eastAsia="宋体" w:cs="宋体"/>
                <w:kern w:val="0"/>
                <w:sz w:val="22"/>
              </w:rPr>
            </w:pPr>
            <w:r>
              <w:rPr>
                <w:rFonts w:hint="eastAsia" w:ascii="宋体" w:hAnsi="宋体" w:eastAsia="宋体" w:cs="宋体"/>
                <w:kern w:val="0"/>
                <w:sz w:val="22"/>
              </w:rPr>
              <w:t>截止时间：201</w:t>
            </w:r>
            <w:r>
              <w:rPr>
                <w:rFonts w:hint="eastAsia" w:ascii="宋体" w:hAnsi="宋体" w:cs="宋体"/>
                <w:kern w:val="0"/>
                <w:sz w:val="22"/>
                <w:lang w:val="en-US" w:eastAsia="zh-CN"/>
              </w:rPr>
              <w:t>7年12月31日</w:t>
            </w:r>
          </w:p>
        </w:tc>
      </w:tr>
      <w:tr>
        <w:trPr>
          <w:trHeight w:val="645" w:hRule="atLeast"/>
        </w:trPr>
        <w:tc>
          <w:tcPr>
            <w:tcW w:w="5224" w:type="dxa"/>
            <w:tcBorders>
              <w:top w:val="single" w:color="auto" w:sz="4" w:space="0"/>
              <w:left w:val="single" w:color="auto" w:sz="4" w:space="0"/>
              <w:bottom w:val="single" w:color="auto" w:sz="4" w:space="0"/>
              <w:right w:val="single" w:color="auto" w:sz="4" w:space="0"/>
            </w:tcBorders>
            <w:textDirection w:val="lrTb"/>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textDirection w:val="lrTb"/>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textDirection w:val="lrTb"/>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rPr>
          <w:trHeight w:val="645" w:hRule="atLeast"/>
        </w:trPr>
        <w:tc>
          <w:tcPr>
            <w:tcW w:w="5224" w:type="dxa"/>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3155" w:type="dxa"/>
            <w:tcBorders>
              <w:top w:val="nil"/>
              <w:left w:val="nil"/>
              <w:bottom w:val="single" w:color="auto" w:sz="4" w:space="0"/>
              <w:right w:val="single" w:color="auto" w:sz="4" w:space="0"/>
            </w:tcBorders>
            <w:textDirection w:val="lrTb"/>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3742.79</w:t>
            </w:r>
          </w:p>
        </w:tc>
      </w:tr>
      <w:tr>
        <w:trPr>
          <w:trHeight w:val="645" w:hRule="atLeast"/>
        </w:trPr>
        <w:tc>
          <w:tcPr>
            <w:tcW w:w="5224"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3155"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7760</w:t>
            </w:r>
          </w:p>
        </w:tc>
        <w:tc>
          <w:tcPr>
            <w:tcW w:w="5103"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2908.55</w:t>
            </w:r>
          </w:p>
        </w:tc>
      </w:tr>
      <w:tr>
        <w:trPr>
          <w:trHeight w:val="645" w:hRule="atLeast"/>
        </w:trPr>
        <w:tc>
          <w:tcPr>
            <w:tcW w:w="5224"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3155"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7690</w:t>
            </w:r>
          </w:p>
        </w:tc>
        <w:tc>
          <w:tcPr>
            <w:tcW w:w="5103"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2899.39</w:t>
            </w:r>
          </w:p>
        </w:tc>
      </w:tr>
      <w:tr>
        <w:trPr>
          <w:trHeight w:val="645" w:hRule="atLeast"/>
        </w:trPr>
        <w:tc>
          <w:tcPr>
            <w:tcW w:w="5224"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3155"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20</w:t>
            </w:r>
          </w:p>
        </w:tc>
        <w:tc>
          <w:tcPr>
            <w:tcW w:w="5103"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329.70</w:t>
            </w:r>
          </w:p>
        </w:tc>
      </w:tr>
      <w:tr>
        <w:trPr>
          <w:trHeight w:val="645" w:hRule="atLeast"/>
        </w:trPr>
        <w:tc>
          <w:tcPr>
            <w:tcW w:w="5224"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3155" w:type="dxa"/>
            <w:tcBorders>
              <w:top w:val="nil"/>
              <w:left w:val="nil"/>
              <w:bottom w:val="single" w:color="auto" w:sz="4" w:space="0"/>
              <w:right w:val="single" w:color="auto" w:sz="4" w:space="0"/>
            </w:tcBorders>
            <w:textDirection w:val="lrTb"/>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trPr>
          <w:trHeight w:val="645" w:hRule="atLeast"/>
        </w:trPr>
        <w:tc>
          <w:tcPr>
            <w:tcW w:w="5224"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3155" w:type="dxa"/>
            <w:tcBorders>
              <w:top w:val="nil"/>
              <w:left w:val="nil"/>
              <w:bottom w:val="single" w:color="auto" w:sz="4" w:space="0"/>
              <w:right w:val="single" w:color="auto" w:sz="4" w:space="0"/>
            </w:tcBorders>
            <w:textDirection w:val="lrTb"/>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textDirection w:val="lrTb"/>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504.54</w:t>
            </w:r>
          </w:p>
        </w:tc>
      </w:tr>
    </w:tbl>
    <w:p>
      <w:pPr>
        <w:rPr>
          <w:rFonts w:hint="eastAsia" w:ascii="仿宋_GB2312" w:hAnsi="黑体" w:eastAsia="仿宋_GB2312" w:cs="Times New Roman"/>
          <w:color w:val="auto"/>
          <w:sz w:val="32"/>
          <w:szCs w:val="32"/>
          <w:lang w:val="en-US" w:eastAsia="zh-CN"/>
        </w:rPr>
      </w:pPr>
    </w:p>
    <w:p>
      <w:pPr>
        <w:numPr>
          <w:ilvl w:val="0"/>
          <w:numId w:val="2"/>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1、一般预算收入：省级财政当年拨付的资金。</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办公费、印刷费，水费、电费、邮电费、福利费、日常维修费、办公物业服务费、公务车运行维护费等。</w:t>
      </w:r>
    </w:p>
    <w:p>
      <w:pPr>
        <w:numPr>
          <w:numId w:val="0"/>
        </w:numPr>
        <w:autoSpaceDE w:val="0"/>
        <w:autoSpaceDN w:val="0"/>
        <w:adjustRightInd w:val="0"/>
        <w:ind w:leftChars="200" w:firstLine="640"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ind w:firstLine="640" w:firstLineChars="200"/>
        <w:rPr>
          <w:rFonts w:hint="eastAsia" w:ascii="仿宋_GB2312" w:hAnsi="仿宋_GB2312" w:eastAsia="仿宋_GB2312" w:cs="仿宋_GB2312"/>
          <w:sz w:val="32"/>
          <w:szCs w:val="32"/>
        </w:rPr>
      </w:pPr>
    </w:p>
    <w:p>
      <w:pPr>
        <w:autoSpaceDE w:val="0"/>
        <w:autoSpaceDN w:val="0"/>
        <w:adjustRightInd w:val="0"/>
        <w:ind w:firstLine="640" w:firstLineChars="200"/>
        <w:jc w:val="left"/>
        <w:rPr>
          <w:rFonts w:ascii="仿宋_GB2312" w:hAnsi="仿宋_GB2312" w:eastAsia="仿宋_GB2312" w:cs="仿宋_GB2312"/>
          <w:sz w:val="32"/>
          <w:szCs w:val="32"/>
        </w:rPr>
      </w:pPr>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10002FF" w:usb1="4000ACFF" w:usb2="00000009" w:usb3="00000000" w:csb0="2000019F" w:csb1="00000000"/>
  </w:font>
  <w:font w:name="方正小标宋_GBK">
    <w:altName w:val="宋体"/>
    <w:panose1 w:val="03000509000000000000"/>
    <w:charset w:val="86"/>
    <w:family w:val="auto"/>
    <w:pitch w:val="default"/>
    <w:sig w:usb0="00000001" w:usb1="080E0000" w:usb2="0000001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方正书宋_GBK">
    <w:altName w:val="宋体"/>
    <w:panose1 w:val="03000509000000000000"/>
    <w:charset w:val="86"/>
    <w:family w:val="auto"/>
    <w:pitch w:val="default"/>
    <w:sig w:usb0="00000001" w:usb1="080E0000" w:usb2="00000010" w:usb3="00000000" w:csb0="00040000" w:csb1="00000000"/>
  </w:font>
  <w:font w:name="方正仿宋_GBK">
    <w:altName w:val="宋体"/>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E00002FF" w:usb1="400004FF" w:usb2="00000000" w:usb3="00000000" w:csb0="2000019F" w:csb1="00000000"/>
  </w:font>
  <w:font w:name="方正楷体_GBK">
    <w:altName w:val="宋体"/>
    <w:panose1 w:val="03000509000000000000"/>
    <w:charset w:val="86"/>
    <w:family w:val="auto"/>
    <w:pitch w:val="default"/>
    <w:sig w:usb0="00000001" w:usb1="080E0000" w:usb2="0000001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Arial Rounded MT Bold">
    <w:altName w:val="Arial"/>
    <w:panose1 w:val="020F0704030504030204"/>
    <w:charset w:val="00"/>
    <w:family w:val="auto"/>
    <w:pitch w:val="default"/>
    <w:sig w:usb0="00000003" w:usb1="00000000" w:usb2="00000000" w:usb3="00000000" w:csb0="20000001"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1" w:usb1="080E0000" w:usb2="00000010" w:usb3="00000000" w:csb0="00040000" w:csb1="00000000"/>
  </w:font>
  <w:font w:name="Palatino Linotype">
    <w:panose1 w:val="02040502050505030304"/>
    <w:charset w:val="00"/>
    <w:family w:val="auto"/>
    <w:pitch w:val="default"/>
    <w:sig w:usb0="E0000387" w:usb1="40000013" w:usb2="00000000" w:usb3="00000000" w:csb0="2000019F" w:csb1="00000000"/>
  </w:font>
  <w:font w:name="方正黑体简体">
    <w:altName w:val="黑体"/>
    <w:panose1 w:val="03000509000000000000"/>
    <w:charset w:val="86"/>
    <w:family w:val="auto"/>
    <w:pitch w:val="default"/>
    <w:sig w:usb0="00000001" w:usb1="080E0000" w:usb2="00000010" w:usb3="00000000" w:csb0="00040000" w:csb1="00000000"/>
  </w:font>
  <w:font w:name="方正小标宋简体">
    <w:altName w:val="宋体"/>
    <w:panose1 w:val="03000509000000000000"/>
    <w:charset w:val="86"/>
    <w:family w:val="auto"/>
    <w:pitch w:val="default"/>
    <w:sig w:usb0="00000001" w:usb1="080E0000" w:usb2="00000010" w:usb3="00000000" w:csb0="00040000" w:csb1="00000000"/>
  </w:font>
  <w:font w:name="方正楷体简体">
    <w:altName w:val="宋体"/>
    <w:panose1 w:val="03000509000000000000"/>
    <w:charset w:val="86"/>
    <w:family w:val="auto"/>
    <w:pitch w:val="default"/>
    <w:sig w:usb0="00000001" w:usb1="080E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 w:name="新宋体">
    <w:panose1 w:val="02010609030101010101"/>
    <w:charset w:val="86"/>
    <w:family w:val="auto"/>
    <w:pitch w:val="default"/>
    <w:sig w:usb0="00000003" w:usb1="080E0000" w:usb2="00000000" w:usb3="00000000" w:csb0="00040001" w:csb1="00000000"/>
  </w:font>
  <w:font w:name="Calibri Light">
    <w:altName w:val="MV Boli"/>
    <w:panose1 w:val="020F0302020204030204"/>
    <w:charset w:val="00"/>
    <w:family w:val="auto"/>
    <w:pitch w:val="default"/>
    <w:sig w:usb0="A00002EF" w:usb1="4000207B" w:usb2="00000000" w:usb3="00000000" w:csb0="0000019F" w:csb1="00000000"/>
  </w:font>
  <w:font w:name="MV Boli">
    <w:panose1 w:val="02000500030200090000"/>
    <w:charset w:val="00"/>
    <w:family w:val="auto"/>
    <w:pitch w:val="default"/>
    <w:sig w:usb0="00000000" w:usb1="00000000" w:usb2="00000100" w:usb3="00000000" w:csb0="00000000" w:csb1="00000000"/>
  </w:font>
  <w:font w:name="Cambria Math">
    <w:altName w:val="Palatino Linotype"/>
    <w:panose1 w:val="02040503050406030204"/>
    <w:charset w:val="00"/>
    <w:family w:val="auto"/>
    <w:pitch w:val="default"/>
    <w:sig w:usb0="E00002FF" w:usb1="420024FF" w:usb2="00000000" w:usb3="00000000" w:csb0="2000019F" w:csb1="00000000"/>
  </w:font>
  <w:font w:name="宋体-PUA">
    <w:panose1 w:val="02010600030101010101"/>
    <w:charset w:val="86"/>
    <w:family w:val="auto"/>
    <w:pitch w:val="default"/>
    <w:sig w:usb0="00000000" w:usb1="1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singleLevel"/>
    <w:tmpl w:val="00000002"/>
    <w:lvl w:ilvl="0" w:tentative="1">
      <w:start w:val="8"/>
      <w:numFmt w:val="chineseCounting"/>
      <w:suff w:val="nothing"/>
      <w:lvlText w:val="%1、"/>
      <w:lvlJc w:val="left"/>
    </w:lvl>
  </w:abstractNum>
  <w:abstractNum w:abstractNumId="11">
    <w:nsid w:val="0000000B"/>
    <w:multiLevelType w:val="singleLevel"/>
    <w:tmpl w:val="0000000B"/>
    <w:lvl w:ilvl="0" w:tentative="1">
      <w:start w:val="2"/>
      <w:numFmt w:val="decimal"/>
      <w:suff w:val="nothing"/>
      <w:lvlText w:val="%1、"/>
      <w:lvlJc w:val="left"/>
    </w:lvl>
  </w:abstractNum>
  <w:num w:numId="1">
    <w:abstractNumId w:val="1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9">
    <w:name w:val="Default Paragraph Font"/>
  </w:style>
  <w:style w:type="paragraph" w:styleId="2">
    <w:name w:val="footer"/>
    <w:basedOn w:val="1"/>
    <w:link w:val="3"/>
    <w:pPr>
      <w:tabs>
        <w:tab w:val="center" w:pos="4153"/>
        <w:tab w:val="right" w:pos="8306"/>
      </w:tabs>
      <w:snapToGrid w:val="0"/>
      <w:jc w:val="left"/>
    </w:pPr>
    <w:rPr>
      <w:rFonts w:ascii="Times New Roman" w:hAnsi="Times New Roman" w:eastAsia="宋体" w:cs="Times New Roman"/>
      <w:sz w:val="18"/>
      <w:szCs w:val="18"/>
    </w:rPr>
  </w:style>
  <w:style w:type="character" w:customStyle="1" w:styleId="3">
    <w:name w:val="页脚 Char"/>
    <w:link w:val="2"/>
    <w:semiHidden/>
    <w:rPr>
      <w:rFonts w:ascii="Times New Roman" w:hAnsi="Times New Roman" w:eastAsia="宋体" w:cs="Times New Roman"/>
      <w:sz w:val="18"/>
      <w:szCs w:val="18"/>
    </w:rPr>
  </w:style>
  <w:style w:type="paragraph" w:styleId="4">
    <w:name w:val="header"/>
    <w:basedOn w:val="1"/>
    <w:link w:val="5"/>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5">
    <w:name w:val="页眉 Char"/>
    <w:link w:val="4"/>
    <w:semiHidden/>
    <w:rPr>
      <w:rFonts w:ascii="Times New Roman" w:hAnsi="Times New Roman" w:eastAsia="宋体" w:cs="Times New Roman"/>
      <w:sz w:val="18"/>
      <w:szCs w:val="18"/>
    </w:rPr>
  </w:style>
  <w:style w:type="paragraph" w:styleId="6">
    <w:name w:val="toc 1"/>
    <w:basedOn w:val="1"/>
    <w:next w:val="1"/>
    <w:rPr>
      <w:rFonts w:ascii="Times New Roman" w:hAnsi="Times New Roman" w:cs="Times New Roman"/>
      <w:szCs w:val="24"/>
    </w:rPr>
  </w:style>
  <w:style w:type="paragraph" w:styleId="7">
    <w:name w:val="toc 2"/>
    <w:basedOn w:val="1"/>
    <w:next w:val="1"/>
    <w:pPr>
      <w:ind w:left="420" w:leftChars="200"/>
    </w:pPr>
    <w:rPr>
      <w:rFonts w:ascii="Times New Roman" w:hAnsi="Times New Roman" w:cs="Times New Roman"/>
      <w:szCs w:val="24"/>
    </w:rPr>
  </w:style>
  <w:style w:type="paragraph" w:styleId="8">
    <w:name w:val="Title"/>
    <w:basedOn w:val="1"/>
    <w:next w:val="1"/>
    <w:pPr>
      <w:spacing w:before="240" w:after="60"/>
      <w:jc w:val="center"/>
      <w:outlineLvl w:val="0"/>
    </w:pPr>
    <w:rPr>
      <w:rFonts w:ascii="Cambria" w:hAnsi="Cambria" w:eastAsia="宋体" w:cs="Times New Roman"/>
      <w:b/>
      <w:bCs/>
      <w:sz w:val="32"/>
      <w:szCs w:val="32"/>
    </w:rPr>
  </w:style>
  <w:style w:type="paragraph" w:customStyle="1" w:styleId="10">
    <w:name w:val="Char"/>
    <w:basedOn w:val="1"/>
    <w:rPr>
      <w:rFonts w:ascii="Times New Roman" w:hAnsi="Times New Roman" w:cs="Times New Roman"/>
      <w:szCs w:val="24"/>
    </w:rPr>
  </w:style>
  <w:style w:type="character" w:customStyle="1" w:styleId="11">
    <w:name w:val="page number"/>
    <w:basedOn w:val="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1437</Words>
  <Characters>8196</Characters>
  <Lines>68</Lines>
  <Paragraphs>19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2017-01-24T09:29:00Z</dcterms:created>
  <dc:creator>guest</dc:creator>
  <cp:lastPrinted>2017-02-11T09:57:00Z</cp:lastPrinted>
  <dcterms:modified xsi:type="dcterms:W3CDTF">2018-07-31T11:50:27Z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