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B9" w:rsidRPr="002D4817" w:rsidRDefault="0009050A" w:rsidP="00412C7D">
      <w:pPr>
        <w:spacing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 xml:space="preserve"> </w:t>
      </w:r>
      <w:r w:rsidR="000A6D38" w:rsidRPr="002D4817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唐山市住房公积金管理中心</w:t>
      </w:r>
    </w:p>
    <w:p w:rsidR="00887816" w:rsidRPr="002D4817" w:rsidRDefault="00321138" w:rsidP="00412C7D">
      <w:pPr>
        <w:spacing w:line="36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2D4817">
        <w:rPr>
          <w:rFonts w:asciiTheme="majorEastAsia" w:eastAsiaTheme="majorEastAsia" w:hAnsiTheme="majorEastAsia" w:cs="Times New Roman"/>
          <w:b/>
          <w:sz w:val="44"/>
          <w:szCs w:val="44"/>
        </w:rPr>
        <w:t>201</w:t>
      </w:r>
      <w:r w:rsidR="002D4817" w:rsidRPr="002D4817">
        <w:rPr>
          <w:rFonts w:asciiTheme="majorEastAsia" w:eastAsiaTheme="majorEastAsia" w:hAnsiTheme="majorEastAsia" w:cs="Times New Roman" w:hint="eastAsia"/>
          <w:b/>
          <w:sz w:val="44"/>
          <w:szCs w:val="44"/>
        </w:rPr>
        <w:t>7</w:t>
      </w:r>
      <w:r w:rsidRPr="002D4817">
        <w:rPr>
          <w:rFonts w:asciiTheme="majorEastAsia" w:eastAsiaTheme="majorEastAsia" w:hAnsiTheme="majorEastAsia" w:cs="Times New Roman"/>
          <w:b/>
          <w:sz w:val="44"/>
          <w:szCs w:val="44"/>
        </w:rPr>
        <w:t>年</w:t>
      </w:r>
      <w:r w:rsidR="00177B7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度</w:t>
      </w:r>
      <w:r w:rsidRPr="002D4817">
        <w:rPr>
          <w:rFonts w:asciiTheme="majorEastAsia" w:eastAsiaTheme="majorEastAsia" w:hAnsiTheme="majorEastAsia" w:cs="Times New Roman"/>
          <w:b/>
          <w:sz w:val="44"/>
          <w:szCs w:val="44"/>
        </w:rPr>
        <w:t>部门</w:t>
      </w:r>
      <w:r w:rsidR="005379BA" w:rsidRPr="002D4817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决</w:t>
      </w:r>
      <w:r w:rsidRPr="002D4817">
        <w:rPr>
          <w:rFonts w:asciiTheme="majorEastAsia" w:eastAsiaTheme="majorEastAsia" w:hAnsiTheme="majorEastAsia" w:cs="Times New Roman"/>
          <w:b/>
          <w:sz w:val="44"/>
          <w:szCs w:val="44"/>
        </w:rPr>
        <w:t>算</w:t>
      </w:r>
      <w:r w:rsidR="00177B7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情况说明</w:t>
      </w:r>
    </w:p>
    <w:p w:rsidR="00177B70" w:rsidRDefault="00177B70" w:rsidP="00177B70">
      <w:pPr>
        <w:numPr>
          <w:ilvl w:val="0"/>
          <w:numId w:val="3"/>
        </w:num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177B70">
        <w:rPr>
          <w:rFonts w:ascii="黑体" w:eastAsia="黑体" w:hAnsi="黑体" w:cs="Times New Roman" w:hint="eastAsia"/>
          <w:sz w:val="32"/>
          <w:szCs w:val="32"/>
        </w:rPr>
        <w:t>收入支出决算总体情况说明</w:t>
      </w:r>
    </w:p>
    <w:p w:rsidR="00AD2FC2" w:rsidRDefault="00FD26F8" w:rsidP="00177B70">
      <w:pPr>
        <w:spacing w:line="360" w:lineRule="auto"/>
        <w:ind w:firstLine="63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本部门</w:t>
      </w:r>
      <w:r w:rsidR="00AD2FC2" w:rsidRPr="00177B70">
        <w:rPr>
          <w:rFonts w:ascii="仿宋_GB2312" w:eastAsia="仿宋_GB2312" w:cs="宋体" w:hint="eastAsia"/>
          <w:kern w:val="0"/>
          <w:sz w:val="32"/>
          <w:szCs w:val="32"/>
        </w:rPr>
        <w:t>2017年</w:t>
      </w:r>
      <w:r w:rsidR="00AD2FC2">
        <w:rPr>
          <w:rFonts w:ascii="仿宋_GB2312" w:eastAsia="仿宋_GB2312" w:cs="宋体" w:hint="eastAsia"/>
          <w:kern w:val="0"/>
          <w:sz w:val="32"/>
          <w:szCs w:val="32"/>
        </w:rPr>
        <w:t>度</w:t>
      </w:r>
      <w:r w:rsidR="001814B1">
        <w:rPr>
          <w:rFonts w:ascii="仿宋_GB2312" w:eastAsia="仿宋_GB2312" w:cs="宋体" w:hint="eastAsia"/>
          <w:kern w:val="0"/>
          <w:sz w:val="32"/>
          <w:szCs w:val="32"/>
        </w:rPr>
        <w:t>决算</w:t>
      </w:r>
      <w:r w:rsidR="00AD2FC2">
        <w:rPr>
          <w:rFonts w:ascii="仿宋_GB2312" w:eastAsia="仿宋_GB2312" w:cs="宋体" w:hint="eastAsia"/>
          <w:kern w:val="0"/>
          <w:sz w:val="32"/>
          <w:szCs w:val="32"/>
        </w:rPr>
        <w:t>收入</w:t>
      </w:r>
      <w:r w:rsidR="00AD2FC2" w:rsidRPr="00177B70">
        <w:rPr>
          <w:rFonts w:ascii="仿宋_GB2312" w:eastAsia="仿宋_GB2312" w:cs="宋体" w:hint="eastAsia"/>
          <w:kern w:val="0"/>
          <w:sz w:val="32"/>
          <w:szCs w:val="32"/>
        </w:rPr>
        <w:t>3657.59万元，</w:t>
      </w:r>
      <w:r>
        <w:rPr>
          <w:rFonts w:ascii="仿宋_GB2312" w:eastAsia="仿宋_GB2312" w:cs="宋体" w:hint="eastAsia"/>
          <w:kern w:val="0"/>
          <w:sz w:val="32"/>
          <w:szCs w:val="32"/>
        </w:rPr>
        <w:t>决算</w:t>
      </w:r>
      <w:r w:rsidR="001814B1" w:rsidRPr="00177B70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="001814B1" w:rsidRPr="00177B70">
        <w:rPr>
          <w:rFonts w:ascii="仿宋_GB2312" w:eastAsia="仿宋_GB2312" w:cs="宋体" w:hint="eastAsia"/>
          <w:kern w:val="0"/>
          <w:sz w:val="32"/>
          <w:szCs w:val="32"/>
        </w:rPr>
        <w:t>3981.03</w:t>
      </w:r>
      <w:r w:rsidR="001814B1" w:rsidRPr="00177B70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1814B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7B70" w:rsidRPr="00177B70" w:rsidRDefault="00FD26F8" w:rsidP="00177B70">
      <w:pPr>
        <w:spacing w:line="360" w:lineRule="auto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1</w:t>
      </w:r>
      <w:r w:rsidRPr="00177B70">
        <w:rPr>
          <w:rFonts w:ascii="仿宋_GB2312" w:eastAsia="仿宋_GB2312" w:cs="宋体" w:hint="eastAsia"/>
          <w:kern w:val="0"/>
          <w:sz w:val="32"/>
          <w:szCs w:val="32"/>
        </w:rPr>
        <w:t>、</w:t>
      </w:r>
      <w:r w:rsidR="00177B70" w:rsidRPr="00177B70">
        <w:rPr>
          <w:rFonts w:ascii="仿宋_GB2312" w:eastAsia="仿宋_GB2312" w:hAnsi="仿宋_GB2312" w:cs="仿宋_GB2312" w:hint="eastAsia"/>
          <w:sz w:val="32"/>
          <w:szCs w:val="32"/>
        </w:rPr>
        <w:t>与2016年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度</w:t>
      </w:r>
      <w:r w:rsidR="00177B70" w:rsidRPr="00177B70">
        <w:rPr>
          <w:rFonts w:ascii="仿宋_GB2312" w:eastAsia="仿宋_GB2312" w:hAnsi="仿宋_GB2312" w:cs="仿宋_GB2312" w:hint="eastAsia"/>
          <w:sz w:val="32"/>
          <w:szCs w:val="32"/>
        </w:rPr>
        <w:t>相比，2017年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度</w:t>
      </w:r>
      <w:r w:rsidR="00177B70" w:rsidRPr="00177B70">
        <w:rPr>
          <w:rFonts w:ascii="仿宋_GB2312" w:eastAsia="仿宋_GB2312" w:hAnsi="仿宋_GB2312" w:cs="仿宋_GB2312" w:hint="eastAsia"/>
          <w:sz w:val="32"/>
          <w:szCs w:val="32"/>
        </w:rPr>
        <w:t>部门收入决算减少749.53万元，主要减少的是人员经费中的预留人员经费；部门支出决算增加709.43万元，主要增加了人员经费支出及专项项目支出。</w:t>
      </w:r>
    </w:p>
    <w:p w:rsidR="00177B70" w:rsidRPr="00177B70" w:rsidRDefault="00177B70" w:rsidP="00177B70">
      <w:pPr>
        <w:spacing w:line="360" w:lineRule="auto"/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177B70">
        <w:rPr>
          <w:rFonts w:ascii="仿宋_GB2312" w:eastAsia="仿宋_GB2312" w:cs="宋体" w:hint="eastAsia"/>
          <w:kern w:val="0"/>
          <w:sz w:val="32"/>
          <w:szCs w:val="32"/>
        </w:rPr>
        <w:t>2、</w:t>
      </w:r>
      <w:r w:rsidR="006A1162">
        <w:rPr>
          <w:rFonts w:ascii="仿宋_GB2312" w:eastAsia="仿宋_GB2312" w:cs="宋体" w:hint="eastAsia"/>
          <w:kern w:val="0"/>
          <w:sz w:val="32"/>
          <w:szCs w:val="32"/>
        </w:rPr>
        <w:t>2017年初预算3851.55万元，调整预算数4142.6万元。</w:t>
      </w:r>
      <w:r w:rsidR="00A249A4">
        <w:rPr>
          <w:rFonts w:ascii="仿宋_GB2312" w:eastAsia="仿宋_GB2312" w:cs="宋体" w:hint="eastAsia"/>
          <w:kern w:val="0"/>
          <w:sz w:val="32"/>
          <w:szCs w:val="32"/>
        </w:rPr>
        <w:t>与预算相比，</w:t>
      </w:r>
      <w:r w:rsidR="006A1162">
        <w:rPr>
          <w:rFonts w:ascii="仿宋_GB2312" w:eastAsia="仿宋_GB2312" w:cs="宋体" w:hint="eastAsia"/>
          <w:kern w:val="0"/>
          <w:sz w:val="32"/>
          <w:szCs w:val="32"/>
        </w:rPr>
        <w:t>收入减少291.05万元，主要减少</w:t>
      </w:r>
      <w:r w:rsidR="00E71576">
        <w:rPr>
          <w:rFonts w:ascii="仿宋_GB2312" w:eastAsia="仿宋_GB2312" w:cs="宋体" w:hint="eastAsia"/>
          <w:kern w:val="0"/>
          <w:sz w:val="32"/>
          <w:szCs w:val="32"/>
        </w:rPr>
        <w:t>人员经费收入；部门支出</w:t>
      </w:r>
      <w:r w:rsidR="006A1162">
        <w:rPr>
          <w:rFonts w:ascii="仿宋_GB2312" w:eastAsia="仿宋_GB2312" w:cs="宋体" w:hint="eastAsia"/>
          <w:kern w:val="0"/>
          <w:sz w:val="32"/>
          <w:szCs w:val="32"/>
        </w:rPr>
        <w:t>减</w:t>
      </w:r>
      <w:r w:rsidRPr="00177B70">
        <w:rPr>
          <w:rFonts w:ascii="仿宋_GB2312" w:eastAsia="仿宋_GB2312" w:cs="宋体" w:hint="eastAsia"/>
          <w:kern w:val="0"/>
          <w:sz w:val="32"/>
          <w:szCs w:val="32"/>
        </w:rPr>
        <w:t>少161.57万元，</w:t>
      </w:r>
      <w:r w:rsidR="00E71576">
        <w:rPr>
          <w:rFonts w:ascii="仿宋_GB2312" w:eastAsia="仿宋_GB2312" w:cs="宋体" w:hint="eastAsia"/>
          <w:kern w:val="0"/>
          <w:sz w:val="32"/>
          <w:szCs w:val="32"/>
        </w:rPr>
        <w:t>主要减少</w:t>
      </w:r>
      <w:r w:rsidR="00D84280">
        <w:rPr>
          <w:rFonts w:ascii="仿宋_GB2312" w:eastAsia="仿宋_GB2312" w:cs="宋体" w:hint="eastAsia"/>
          <w:kern w:val="0"/>
          <w:sz w:val="32"/>
          <w:szCs w:val="32"/>
        </w:rPr>
        <w:t>人员经费支出及三公经费、差旅费、物业管理费、福利费等正常公用经费支出，</w:t>
      </w:r>
      <w:r w:rsidRPr="00177B70">
        <w:rPr>
          <w:rFonts w:ascii="仿宋_GB2312" w:eastAsia="仿宋_GB2312" w:cs="宋体" w:hint="eastAsia"/>
          <w:kern w:val="0"/>
          <w:sz w:val="32"/>
          <w:szCs w:val="32"/>
        </w:rPr>
        <w:t>未支出部分年底由财政收回。</w:t>
      </w:r>
      <w:bookmarkStart w:id="0" w:name="_GoBack"/>
      <w:bookmarkEnd w:id="0"/>
    </w:p>
    <w:p w:rsidR="00887816" w:rsidRPr="00177B70" w:rsidRDefault="00177B70" w:rsidP="00B54068">
      <w:pPr>
        <w:spacing w:line="360" w:lineRule="auto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二、收入决算情况说明</w:t>
      </w:r>
    </w:p>
    <w:p w:rsidR="00B54068" w:rsidRPr="00177B70" w:rsidRDefault="00FD26F8" w:rsidP="00B5406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本部门</w:t>
      </w:r>
      <w:r w:rsidR="00C27471" w:rsidRPr="00177B70">
        <w:rPr>
          <w:rFonts w:ascii="仿宋_GB2312" w:eastAsia="仿宋_GB2312" w:cs="宋体" w:hint="eastAsia"/>
          <w:kern w:val="0"/>
          <w:sz w:val="32"/>
          <w:szCs w:val="32"/>
        </w:rPr>
        <w:t>201</w:t>
      </w:r>
      <w:r w:rsidR="008442C2" w:rsidRPr="00177B70">
        <w:rPr>
          <w:rFonts w:ascii="仿宋_GB2312" w:eastAsia="仿宋_GB2312" w:cs="宋体" w:hint="eastAsia"/>
          <w:kern w:val="0"/>
          <w:sz w:val="32"/>
          <w:szCs w:val="32"/>
        </w:rPr>
        <w:t>7</w:t>
      </w:r>
      <w:r w:rsidR="00C27471" w:rsidRPr="00177B70">
        <w:rPr>
          <w:rFonts w:ascii="仿宋_GB2312" w:eastAsia="仿宋_GB2312" w:cs="宋体" w:hint="eastAsia"/>
          <w:kern w:val="0"/>
          <w:sz w:val="32"/>
          <w:szCs w:val="32"/>
        </w:rPr>
        <w:t>年</w:t>
      </w:r>
      <w:r w:rsidR="00177B70">
        <w:rPr>
          <w:rFonts w:ascii="仿宋_GB2312" w:eastAsia="仿宋_GB2312" w:cs="宋体" w:hint="eastAsia"/>
          <w:kern w:val="0"/>
          <w:sz w:val="32"/>
          <w:szCs w:val="32"/>
        </w:rPr>
        <w:t>度</w:t>
      </w:r>
      <w:r>
        <w:rPr>
          <w:rFonts w:ascii="仿宋_GB2312" w:eastAsia="仿宋_GB2312" w:cs="宋体" w:hint="eastAsia"/>
          <w:kern w:val="0"/>
          <w:sz w:val="32"/>
          <w:szCs w:val="32"/>
        </w:rPr>
        <w:t>决算</w:t>
      </w:r>
      <w:r w:rsidR="00C4669F" w:rsidRPr="00177B70">
        <w:rPr>
          <w:rFonts w:ascii="仿宋_GB2312" w:eastAsia="仿宋_GB2312" w:cs="宋体" w:hint="eastAsia"/>
          <w:kern w:val="0"/>
          <w:sz w:val="32"/>
          <w:szCs w:val="32"/>
        </w:rPr>
        <w:t>收入</w:t>
      </w:r>
      <w:r w:rsidR="00AD3812" w:rsidRPr="00177B70">
        <w:rPr>
          <w:rFonts w:ascii="仿宋_GB2312" w:eastAsia="仿宋_GB2312" w:cs="宋体" w:hint="eastAsia"/>
          <w:kern w:val="0"/>
          <w:sz w:val="32"/>
          <w:szCs w:val="32"/>
        </w:rPr>
        <w:t>3657.59</w:t>
      </w:r>
      <w:r w:rsidR="001814B1">
        <w:rPr>
          <w:rFonts w:ascii="仿宋_GB2312" w:eastAsia="仿宋_GB2312" w:cs="宋体" w:hint="eastAsia"/>
          <w:kern w:val="0"/>
          <w:sz w:val="32"/>
          <w:szCs w:val="32"/>
        </w:rPr>
        <w:t>万元，</w:t>
      </w:r>
      <w:r w:rsidR="000E2D00" w:rsidRPr="00177B70">
        <w:rPr>
          <w:rFonts w:ascii="仿宋_GB2312" w:eastAsia="仿宋_GB2312" w:cs="宋体" w:hint="eastAsia"/>
          <w:kern w:val="0"/>
          <w:sz w:val="32"/>
          <w:szCs w:val="32"/>
        </w:rPr>
        <w:t>全部为</w:t>
      </w:r>
      <w:r w:rsidR="00C27471" w:rsidRPr="00177B70">
        <w:rPr>
          <w:rFonts w:ascii="仿宋_GB2312" w:eastAsia="仿宋_GB2312" w:cs="宋体" w:hint="eastAsia"/>
          <w:kern w:val="0"/>
          <w:sz w:val="32"/>
          <w:szCs w:val="32"/>
        </w:rPr>
        <w:t>财政补助</w:t>
      </w:r>
      <w:r w:rsidR="000E2D00" w:rsidRPr="00177B70">
        <w:rPr>
          <w:rFonts w:ascii="仿宋_GB2312" w:eastAsia="仿宋_GB2312" w:cs="宋体" w:hint="eastAsia"/>
          <w:kern w:val="0"/>
          <w:sz w:val="32"/>
          <w:szCs w:val="32"/>
        </w:rPr>
        <w:t>拨款</w:t>
      </w:r>
      <w:r w:rsidR="00B54068" w:rsidRPr="00177B70">
        <w:rPr>
          <w:rFonts w:ascii="仿宋_GB2312" w:eastAsia="仿宋_GB2312" w:cs="宋体" w:hint="eastAsia"/>
          <w:kern w:val="0"/>
          <w:sz w:val="32"/>
          <w:szCs w:val="32"/>
        </w:rPr>
        <w:t>收入</w:t>
      </w:r>
      <w:r w:rsidR="000E2D00" w:rsidRPr="00177B70">
        <w:rPr>
          <w:rFonts w:ascii="仿宋_GB2312" w:eastAsia="仿宋_GB2312" w:cs="宋体" w:hint="eastAsia"/>
          <w:kern w:val="0"/>
          <w:sz w:val="32"/>
          <w:szCs w:val="32"/>
        </w:rPr>
        <w:t>。</w:t>
      </w:r>
      <w:r w:rsidR="00B54068" w:rsidRPr="00177B70">
        <w:rPr>
          <w:rFonts w:ascii="仿宋_GB2312" w:eastAsia="仿宋_GB2312" w:hAnsi="仿宋" w:hint="eastAsia"/>
          <w:sz w:val="32"/>
          <w:szCs w:val="32"/>
        </w:rPr>
        <w:t>政府性基金预算收入0万元，国有资本经营预算收入0万元，无其他来源收入。</w:t>
      </w:r>
    </w:p>
    <w:p w:rsidR="00177B70" w:rsidRDefault="00321138" w:rsidP="00177B70">
      <w:pPr>
        <w:numPr>
          <w:ilvl w:val="0"/>
          <w:numId w:val="4"/>
        </w:num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  <w:r w:rsidRPr="00177B70">
        <w:rPr>
          <w:rFonts w:ascii="Times New Roman" w:eastAsia="方正仿宋_GBK" w:hAnsi="Times New Roman" w:cs="Times New Roman"/>
          <w:sz w:val="32"/>
          <w:szCs w:val="32"/>
        </w:rPr>
        <w:t>支出</w:t>
      </w:r>
      <w:r w:rsidR="00177B70">
        <w:rPr>
          <w:rFonts w:ascii="Times New Roman" w:eastAsia="方正仿宋_GBK" w:hAnsi="Times New Roman" w:cs="Times New Roman" w:hint="eastAsia"/>
          <w:sz w:val="32"/>
          <w:szCs w:val="32"/>
        </w:rPr>
        <w:t>决算情况说明</w:t>
      </w:r>
    </w:p>
    <w:p w:rsidR="00887816" w:rsidRDefault="00FD26F8" w:rsidP="00177B7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5B4C6B" w:rsidRPr="00177B70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77B70">
        <w:rPr>
          <w:rFonts w:ascii="仿宋_GB2312" w:eastAsia="仿宋_GB2312" w:hAnsi="仿宋_GB2312" w:cs="仿宋_GB2312" w:hint="eastAsia"/>
          <w:sz w:val="32"/>
          <w:szCs w:val="32"/>
        </w:rPr>
        <w:t>度</w:t>
      </w:r>
      <w:r w:rsidR="001814B1">
        <w:rPr>
          <w:rFonts w:ascii="仿宋_GB2312" w:eastAsia="仿宋_GB2312" w:hAnsi="仿宋_GB2312" w:cs="仿宋_GB2312" w:hint="eastAsia"/>
          <w:sz w:val="32"/>
          <w:szCs w:val="32"/>
        </w:rPr>
        <w:t>决算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="005B4C6B" w:rsidRPr="00177B70">
        <w:rPr>
          <w:rFonts w:ascii="仿宋_GB2312" w:eastAsia="仿宋_GB2312" w:cs="宋体" w:hint="eastAsia"/>
          <w:kern w:val="0"/>
          <w:sz w:val="32"/>
          <w:szCs w:val="32"/>
        </w:rPr>
        <w:t>3981.03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万元，其中基本支出</w:t>
      </w:r>
      <w:r w:rsidR="001814B1">
        <w:rPr>
          <w:rFonts w:ascii="仿宋_GB2312" w:eastAsia="仿宋_GB2312" w:hAnsi="仿宋_GB2312" w:cs="仿宋_GB2312" w:hint="eastAsia"/>
          <w:sz w:val="32"/>
          <w:szCs w:val="32"/>
        </w:rPr>
        <w:t>3453.73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万元，包括人员经费</w:t>
      </w:r>
      <w:r w:rsidR="00394D5C" w:rsidRPr="00177B70">
        <w:rPr>
          <w:rFonts w:ascii="仿宋_GB2312" w:eastAsia="仿宋_GB2312" w:hAnsi="仿宋_GB2312" w:cs="仿宋_GB2312" w:hint="eastAsia"/>
          <w:sz w:val="32"/>
          <w:szCs w:val="32"/>
        </w:rPr>
        <w:t>2526.48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万元和公用经费</w:t>
      </w:r>
      <w:r w:rsidR="00B5631C" w:rsidRPr="00177B7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</w:t>
      </w:r>
      <w:r w:rsidR="00394D5C" w:rsidRPr="00177B70">
        <w:rPr>
          <w:rFonts w:ascii="仿宋_GB2312" w:eastAsia="仿宋_GB2312" w:hAnsi="仿宋_GB2312" w:cs="仿宋_GB2312" w:hint="eastAsia"/>
          <w:sz w:val="32"/>
          <w:szCs w:val="32"/>
        </w:rPr>
        <w:t>27.25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万元；项目支出</w:t>
      </w:r>
      <w:r w:rsidR="00394D5C" w:rsidRPr="00177B70">
        <w:rPr>
          <w:rFonts w:ascii="仿宋_GB2312" w:eastAsia="仿宋_GB2312" w:hAnsi="仿宋_GB2312" w:cs="仿宋_GB2312" w:hint="eastAsia"/>
          <w:sz w:val="32"/>
          <w:szCs w:val="32"/>
        </w:rPr>
        <w:t>527.30</w:t>
      </w:r>
      <w:r w:rsidR="00321138" w:rsidRPr="00177B70">
        <w:rPr>
          <w:rFonts w:ascii="仿宋_GB2312" w:eastAsia="仿宋_GB2312" w:hAnsi="仿宋_GB2312" w:cs="仿宋_GB2312" w:hint="eastAsia"/>
          <w:sz w:val="32"/>
          <w:szCs w:val="32"/>
        </w:rPr>
        <w:t>万元，全部为本级支出。</w:t>
      </w:r>
    </w:p>
    <w:p w:rsidR="00643679" w:rsidRDefault="00177B70" w:rsidP="00643679">
      <w:pPr>
        <w:numPr>
          <w:ilvl w:val="0"/>
          <w:numId w:val="4"/>
        </w:numPr>
        <w:spacing w:line="360" w:lineRule="auto"/>
        <w:rPr>
          <w:rFonts w:ascii="黑体" w:eastAsia="黑体" w:hAnsi="仿宋_GB2312" w:cs="仿宋_GB2312"/>
          <w:sz w:val="32"/>
          <w:szCs w:val="32"/>
        </w:rPr>
      </w:pPr>
      <w:r w:rsidRPr="00177B70">
        <w:rPr>
          <w:rFonts w:ascii="黑体" w:eastAsia="黑体" w:hAnsi="仿宋_GB2312" w:cs="仿宋_GB2312" w:hint="eastAsia"/>
          <w:sz w:val="32"/>
          <w:szCs w:val="32"/>
        </w:rPr>
        <w:t>财政拨款收入支出决算总体情况说明</w:t>
      </w:r>
    </w:p>
    <w:p w:rsidR="001814B1" w:rsidRPr="00643679" w:rsidRDefault="00FD26F8" w:rsidP="0064367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本部门</w:t>
      </w:r>
      <w:r w:rsidR="001814B1" w:rsidRPr="00643679">
        <w:rPr>
          <w:rFonts w:ascii="仿宋_GB2312" w:eastAsia="仿宋_GB2312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cs="宋体" w:hint="eastAsia"/>
          <w:kern w:val="0"/>
          <w:sz w:val="32"/>
          <w:szCs w:val="32"/>
        </w:rPr>
        <w:t>年度</w:t>
      </w:r>
      <w:r w:rsidR="001814B1" w:rsidRPr="00643679">
        <w:rPr>
          <w:rFonts w:ascii="仿宋_GB2312" w:eastAsia="仿宋_GB2312" w:cs="宋体" w:hint="eastAsia"/>
          <w:kern w:val="0"/>
          <w:sz w:val="32"/>
          <w:szCs w:val="32"/>
        </w:rPr>
        <w:t>决算</w:t>
      </w:r>
      <w:r w:rsidR="00643679">
        <w:rPr>
          <w:rFonts w:ascii="仿宋_GB2312" w:eastAsia="仿宋_GB2312" w:cs="宋体" w:hint="eastAsia"/>
          <w:kern w:val="0"/>
          <w:sz w:val="32"/>
          <w:szCs w:val="32"/>
        </w:rPr>
        <w:t>收支全部为</w:t>
      </w:r>
      <w:r w:rsidR="00643679" w:rsidRPr="00643679">
        <w:rPr>
          <w:rFonts w:ascii="仿宋_GB2312" w:eastAsia="仿宋_GB2312" w:cs="宋体" w:hint="eastAsia"/>
          <w:kern w:val="0"/>
          <w:sz w:val="32"/>
          <w:szCs w:val="32"/>
        </w:rPr>
        <w:t>财政拨款收入</w:t>
      </w:r>
      <w:r w:rsidR="00643679">
        <w:rPr>
          <w:rFonts w:ascii="仿宋_GB2312" w:eastAsia="仿宋_GB2312" w:cs="宋体" w:hint="eastAsia"/>
          <w:kern w:val="0"/>
          <w:sz w:val="32"/>
          <w:szCs w:val="32"/>
        </w:rPr>
        <w:t>、支出，其中：</w:t>
      </w:r>
      <w:r w:rsidR="001814B1" w:rsidRPr="00643679">
        <w:rPr>
          <w:rFonts w:ascii="仿宋_GB2312" w:eastAsia="仿宋_GB2312" w:cs="宋体" w:hint="eastAsia"/>
          <w:kern w:val="0"/>
          <w:sz w:val="32"/>
          <w:szCs w:val="32"/>
        </w:rPr>
        <w:t>财政拨款收入3657.59万元，财政拨款</w:t>
      </w:r>
      <w:r w:rsidR="001814B1" w:rsidRPr="00643679"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="001814B1" w:rsidRPr="00643679">
        <w:rPr>
          <w:rFonts w:ascii="仿宋_GB2312" w:eastAsia="仿宋_GB2312" w:cs="宋体" w:hint="eastAsia"/>
          <w:kern w:val="0"/>
          <w:sz w:val="32"/>
          <w:szCs w:val="32"/>
        </w:rPr>
        <w:t>3981.03</w:t>
      </w:r>
      <w:r w:rsidR="001814B1" w:rsidRPr="00643679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814B1" w:rsidRPr="00643679">
        <w:rPr>
          <w:rFonts w:ascii="仿宋_GB2312" w:eastAsia="仿宋_GB2312" w:hAnsi="仿宋_GB2312" w:cs="仿宋_GB2312" w:hint="eastAsia"/>
          <w:sz w:val="32"/>
          <w:szCs w:val="32"/>
        </w:rPr>
        <w:t>增减变化情况</w:t>
      </w:r>
      <w:r w:rsidR="00643679" w:rsidRPr="00643679">
        <w:rPr>
          <w:rFonts w:ascii="仿宋_GB2312" w:eastAsia="仿宋_GB2312" w:hAnsi="仿宋_GB2312" w:cs="仿宋_GB2312" w:hint="eastAsia"/>
          <w:sz w:val="32"/>
          <w:szCs w:val="32"/>
        </w:rPr>
        <w:t>同收入支出决算总体情况说明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一致。</w:t>
      </w:r>
    </w:p>
    <w:p w:rsidR="00177B70" w:rsidRDefault="00177B70" w:rsidP="00177B70">
      <w:pPr>
        <w:autoSpaceDE w:val="0"/>
        <w:autoSpaceDN w:val="0"/>
        <w:adjustRightInd w:val="0"/>
        <w:spacing w:line="360" w:lineRule="auto"/>
        <w:ind w:firstLineChars="221" w:firstLine="707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</w:t>
      </w:r>
      <w:r w:rsidRPr="00177B70">
        <w:rPr>
          <w:rFonts w:ascii="黑体" w:eastAsia="黑体" w:hAnsi="黑体" w:cs="Times New Roman" w:hint="eastAsia"/>
          <w:sz w:val="32"/>
          <w:szCs w:val="32"/>
        </w:rPr>
        <w:t>、</w:t>
      </w:r>
      <w:r w:rsidRPr="00177B70">
        <w:rPr>
          <w:rFonts w:ascii="黑体" w:eastAsia="黑体" w:hAnsi="黑体" w:cs="Times New Roman"/>
          <w:sz w:val="32"/>
          <w:szCs w:val="32"/>
        </w:rPr>
        <w:t xml:space="preserve"> “</w:t>
      </w:r>
      <w:r w:rsidRPr="00177B70">
        <w:rPr>
          <w:rFonts w:ascii="黑体" w:eastAsia="黑体" w:hAnsi="黑体" w:cs="Times New Roman" w:hint="eastAsia"/>
          <w:sz w:val="32"/>
          <w:szCs w:val="32"/>
        </w:rPr>
        <w:t>三公</w:t>
      </w:r>
      <w:r w:rsidRPr="00177B70">
        <w:rPr>
          <w:rFonts w:ascii="黑体" w:eastAsia="黑体" w:hAnsi="黑体" w:cs="Times New Roman"/>
          <w:sz w:val="32"/>
          <w:szCs w:val="32"/>
        </w:rPr>
        <w:t>”</w:t>
      </w:r>
      <w:r w:rsidRPr="00177B70">
        <w:rPr>
          <w:rFonts w:ascii="黑体" w:eastAsia="黑体" w:hAnsi="黑体" w:cs="Times New Roman" w:hint="eastAsia"/>
          <w:sz w:val="32"/>
          <w:szCs w:val="32"/>
        </w:rPr>
        <w:t>经费</w:t>
      </w:r>
      <w:r>
        <w:rPr>
          <w:rFonts w:ascii="黑体" w:eastAsia="黑体" w:hAnsi="黑体" w:cs="Times New Roman" w:hint="eastAsia"/>
          <w:sz w:val="32"/>
          <w:szCs w:val="32"/>
        </w:rPr>
        <w:t>支出</w:t>
      </w:r>
      <w:r w:rsidRPr="00177B70">
        <w:rPr>
          <w:rFonts w:ascii="黑体" w:eastAsia="黑体" w:hAnsi="黑体" w:cs="Times New Roman" w:hint="eastAsia"/>
          <w:sz w:val="32"/>
          <w:szCs w:val="32"/>
        </w:rPr>
        <w:t>决算情况</w:t>
      </w:r>
      <w:r>
        <w:rPr>
          <w:rFonts w:ascii="黑体" w:eastAsia="黑体" w:hAnsi="黑体" w:cs="Times New Roman" w:hint="eastAsia"/>
          <w:sz w:val="32"/>
          <w:szCs w:val="32"/>
        </w:rPr>
        <w:t>说明</w:t>
      </w:r>
    </w:p>
    <w:p w:rsidR="00177B70" w:rsidRPr="00177B70" w:rsidRDefault="00177B70" w:rsidP="00177B7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77B70">
        <w:rPr>
          <w:rFonts w:ascii="仿宋_GB2312" w:eastAsia="仿宋_GB2312" w:hAnsi="仿宋_GB2312" w:cs="仿宋_GB2312" w:hint="eastAsia"/>
          <w:sz w:val="32"/>
          <w:szCs w:val="32"/>
        </w:rPr>
        <w:t>2017年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度</w:t>
      </w:r>
      <w:r w:rsidR="00FD26F8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 xml:space="preserve">部门“三公”经费决算支出37.63万元，较上年减少10.71万元。具体情况为： </w:t>
      </w:r>
    </w:p>
    <w:p w:rsidR="00643679" w:rsidRDefault="00177B70" w:rsidP="00177B70">
      <w:pPr>
        <w:spacing w:line="360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177B70">
        <w:rPr>
          <w:rFonts w:ascii="仿宋_GB2312" w:eastAsia="仿宋_GB2312" w:hAnsi="仿宋_GB2312" w:cs="仿宋_GB2312" w:hint="eastAsia"/>
          <w:sz w:val="32"/>
          <w:szCs w:val="32"/>
        </w:rPr>
        <w:t>（一）公务用车购置及运行费决算支出36.63万元，①公务用车购置安排0万元，购置数0辆，无增减变动。②公车运行维护经费支出36.63万元，同比上年减少10.88万元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43679">
        <w:rPr>
          <w:rFonts w:ascii="仿宋_GB2312" w:eastAsia="仿宋_GB2312" w:hAnsi="黑体" w:cs="Times New Roman" w:hint="eastAsia"/>
          <w:sz w:val="32"/>
          <w:szCs w:val="32"/>
        </w:rPr>
        <w:t>同年初预算相比节支29.87万元。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中心坚持厉行节约减少交通费支出，</w:t>
      </w:r>
      <w:r w:rsidRPr="00177B70">
        <w:rPr>
          <w:rFonts w:ascii="仿宋_GB2312" w:eastAsia="仿宋_GB2312" w:hAnsi="黑体" w:cs="Times New Roman" w:hint="eastAsia"/>
          <w:sz w:val="32"/>
          <w:szCs w:val="32"/>
        </w:rPr>
        <w:t>年末实有车辆19辆，其中轿车15辆 ，皮卡4辆。</w:t>
      </w:r>
    </w:p>
    <w:p w:rsidR="00177B70" w:rsidRPr="00177B70" w:rsidRDefault="00177B70" w:rsidP="00177B7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77B70">
        <w:rPr>
          <w:rFonts w:ascii="仿宋_GB2312" w:eastAsia="仿宋_GB2312" w:hAnsi="仿宋_GB2312" w:cs="仿宋_GB2312" w:hint="eastAsia"/>
          <w:sz w:val="32"/>
          <w:szCs w:val="32"/>
        </w:rPr>
        <w:t>（二）公务接待费决算支出1.01万元，同比上年增加0.18万元，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同年初预算相比节支1.75万元。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中心接待</w:t>
      </w:r>
      <w:proofErr w:type="gramStart"/>
      <w:r w:rsidRPr="00177B70">
        <w:rPr>
          <w:rFonts w:ascii="仿宋_GB2312" w:eastAsia="仿宋_GB2312" w:hAnsi="仿宋_GB2312" w:cs="仿宋_GB2312" w:hint="eastAsia"/>
          <w:sz w:val="32"/>
          <w:szCs w:val="32"/>
        </w:rPr>
        <w:t>批次较</w:t>
      </w:r>
      <w:proofErr w:type="gramEnd"/>
      <w:r w:rsidRPr="00177B70">
        <w:rPr>
          <w:rFonts w:ascii="仿宋_GB2312" w:eastAsia="仿宋_GB2312" w:hAnsi="仿宋_GB2312" w:cs="仿宋_GB2312" w:hint="eastAsia"/>
          <w:sz w:val="32"/>
          <w:szCs w:val="32"/>
        </w:rPr>
        <w:t>上年增多，2017年</w:t>
      </w:r>
      <w:r w:rsidR="00643679">
        <w:rPr>
          <w:rFonts w:ascii="仿宋_GB2312" w:eastAsia="仿宋_GB2312" w:hAnsi="仿宋_GB2312" w:cs="仿宋_GB2312" w:hint="eastAsia"/>
          <w:sz w:val="32"/>
          <w:szCs w:val="32"/>
        </w:rPr>
        <w:t>度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国内接待6批，接待人次45人。</w:t>
      </w:r>
    </w:p>
    <w:p w:rsidR="00177B70" w:rsidRDefault="00177B70" w:rsidP="00177B7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77B70">
        <w:rPr>
          <w:rFonts w:ascii="仿宋_GB2312" w:eastAsia="仿宋_GB2312" w:hAnsi="仿宋_GB2312" w:cs="仿宋_GB2312" w:hint="eastAsia"/>
          <w:sz w:val="32"/>
          <w:szCs w:val="32"/>
        </w:rPr>
        <w:t>（三）因公出国（境）</w:t>
      </w:r>
      <w:proofErr w:type="gramStart"/>
      <w:r w:rsidRPr="00177B70">
        <w:rPr>
          <w:rFonts w:ascii="仿宋_GB2312" w:eastAsia="仿宋_GB2312" w:hAnsi="仿宋_GB2312" w:cs="仿宋_GB2312" w:hint="eastAsia"/>
          <w:sz w:val="32"/>
          <w:szCs w:val="32"/>
        </w:rPr>
        <w:t>费安排</w:t>
      </w:r>
      <w:proofErr w:type="gramEnd"/>
      <w:r w:rsidRPr="00177B70">
        <w:rPr>
          <w:rFonts w:ascii="仿宋_GB2312" w:eastAsia="仿宋_GB2312" w:hAnsi="仿宋_GB2312" w:cs="仿宋_GB2312" w:hint="eastAsia"/>
          <w:sz w:val="32"/>
          <w:szCs w:val="32"/>
        </w:rPr>
        <w:t>0万元，团组数及人数为0，无增减变动。</w:t>
      </w:r>
    </w:p>
    <w:p w:rsidR="00177B70" w:rsidRPr="00177B70" w:rsidRDefault="00177B70" w:rsidP="00177B70">
      <w:pPr>
        <w:autoSpaceDE w:val="0"/>
        <w:autoSpaceDN w:val="0"/>
        <w:adjustRightInd w:val="0"/>
        <w:spacing w:line="360" w:lineRule="auto"/>
        <w:ind w:firstLineChars="221" w:firstLine="707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Pr="00177B70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预算</w:t>
      </w:r>
      <w:r w:rsidRPr="00177B70">
        <w:rPr>
          <w:rFonts w:ascii="黑体" w:eastAsia="黑体" w:hAnsi="黑体" w:cs="Times New Roman" w:hint="eastAsia"/>
          <w:sz w:val="32"/>
          <w:szCs w:val="32"/>
        </w:rPr>
        <w:t>绩效</w:t>
      </w:r>
      <w:r>
        <w:rPr>
          <w:rFonts w:ascii="黑体" w:eastAsia="黑体" w:hAnsi="黑体" w:cs="Times New Roman" w:hint="eastAsia"/>
          <w:sz w:val="32"/>
          <w:szCs w:val="32"/>
        </w:rPr>
        <w:t>管理工作开展情况说明</w:t>
      </w:r>
    </w:p>
    <w:p w:rsidR="00643679" w:rsidRPr="00A97611" w:rsidRDefault="00643679" w:rsidP="00643679">
      <w:pPr>
        <w:spacing w:line="360" w:lineRule="auto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A97611">
        <w:rPr>
          <w:rFonts w:ascii="仿宋_GB2312" w:eastAsia="仿宋_GB2312" w:hAnsi="仿宋_GB2312" w:cs="仿宋_GB2312" w:hint="eastAsia"/>
          <w:sz w:val="32"/>
          <w:szCs w:val="32"/>
        </w:rPr>
        <w:t>按照《唐山市财政局关于开展市本级财政项目支出绩效自评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的通知》的要求，对</w:t>
      </w:r>
      <w:r w:rsidR="00FD26F8"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年度项目资金支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出进行了绩效评价。</w:t>
      </w:r>
    </w:p>
    <w:p w:rsidR="00643679" w:rsidRPr="00A97611" w:rsidRDefault="00643679" w:rsidP="00643679">
      <w:pPr>
        <w:spacing w:line="360" w:lineRule="auto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A97611">
        <w:rPr>
          <w:rFonts w:ascii="仿宋_GB2312" w:eastAsia="仿宋_GB2312" w:hAnsi="仿宋_GB2312" w:cs="仿宋_GB2312" w:hint="eastAsia"/>
          <w:sz w:val="32"/>
          <w:szCs w:val="32"/>
        </w:rPr>
        <w:t>按照市财政局要求，在确定的百分制绩效评价指标体系考核中，并结合工作实际，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基础数据、结算双贯标及综合服务平台建设两个项目进行了自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价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。基础数据、结算双贯标项目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得分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89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分，其中管理绩效2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分、结果绩效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6分，评价结果为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较好；综合服务平台建设项目得分84分，</w:t>
      </w:r>
      <w:r w:rsidR="00695466" w:rsidRPr="00A97611">
        <w:rPr>
          <w:rFonts w:ascii="仿宋_GB2312" w:eastAsia="仿宋_GB2312" w:hAnsi="仿宋_GB2312" w:cs="仿宋_GB2312" w:hint="eastAsia"/>
          <w:sz w:val="32"/>
          <w:szCs w:val="32"/>
        </w:rPr>
        <w:t>其中管理绩效2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695466" w:rsidRPr="00A97611">
        <w:rPr>
          <w:rFonts w:ascii="仿宋_GB2312" w:eastAsia="仿宋_GB2312" w:hAnsi="仿宋_GB2312" w:cs="仿宋_GB2312" w:hint="eastAsia"/>
          <w:sz w:val="32"/>
          <w:szCs w:val="32"/>
        </w:rPr>
        <w:t>分、结果绩效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61</w:t>
      </w:r>
      <w:r w:rsidR="00695466" w:rsidRPr="00A97611">
        <w:rPr>
          <w:rFonts w:ascii="仿宋_GB2312" w:eastAsia="仿宋_GB2312" w:hAnsi="仿宋_GB2312" w:cs="仿宋_GB2312" w:hint="eastAsia"/>
          <w:sz w:val="32"/>
          <w:szCs w:val="32"/>
        </w:rPr>
        <w:t>分，评价结果为</w:t>
      </w:r>
      <w:r w:rsidR="00695466">
        <w:rPr>
          <w:rFonts w:ascii="仿宋_GB2312" w:eastAsia="仿宋_GB2312" w:hAnsi="仿宋_GB2312" w:cs="仿宋_GB2312" w:hint="eastAsia"/>
          <w:sz w:val="32"/>
          <w:szCs w:val="32"/>
        </w:rPr>
        <w:t>较好</w:t>
      </w:r>
      <w:r w:rsidRPr="00A9761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7B70" w:rsidRDefault="00177B70" w:rsidP="006314D4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七、其他重要事项的说明</w:t>
      </w:r>
    </w:p>
    <w:p w:rsidR="006314D4" w:rsidRPr="00177B70" w:rsidRDefault="00177B70" w:rsidP="006314D4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  <w:r w:rsidRPr="00177B70">
        <w:rPr>
          <w:rFonts w:ascii="仿宋_GB2312" w:eastAsia="仿宋_GB2312" w:hAnsi="黑体" w:cs="Times New Roman" w:hint="eastAsia"/>
          <w:sz w:val="32"/>
          <w:szCs w:val="32"/>
        </w:rPr>
        <w:t>1、</w:t>
      </w:r>
      <w:r w:rsidR="006314D4" w:rsidRPr="00177B70">
        <w:rPr>
          <w:rFonts w:ascii="仿宋_GB2312" w:eastAsia="仿宋_GB2312" w:hAnsi="黑体" w:cs="Times New Roman" w:hint="eastAsia"/>
          <w:sz w:val="32"/>
          <w:szCs w:val="32"/>
        </w:rPr>
        <w:t>机关运行经费情况</w:t>
      </w:r>
    </w:p>
    <w:p w:rsidR="006314D4" w:rsidRPr="00177B70" w:rsidRDefault="00E754F1" w:rsidP="006314D4">
      <w:pPr>
        <w:spacing w:line="360" w:lineRule="auto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2017年度本部门</w:t>
      </w:r>
      <w:r w:rsidR="006314D4" w:rsidRPr="00177B70">
        <w:rPr>
          <w:rFonts w:ascii="仿宋_GB2312" w:eastAsia="仿宋_GB2312" w:hAnsi="仿宋_GB2312" w:cs="仿宋_GB2312" w:hint="eastAsia"/>
          <w:sz w:val="32"/>
          <w:szCs w:val="32"/>
        </w:rPr>
        <w:t>机关运行经费</w:t>
      </w:r>
      <w:r w:rsidR="00423402" w:rsidRPr="00177B70">
        <w:rPr>
          <w:rFonts w:ascii="仿宋_GB2312" w:eastAsia="仿宋_GB2312" w:hAnsi="仿宋_GB2312" w:cs="仿宋_GB2312" w:hint="eastAsia"/>
          <w:sz w:val="32"/>
          <w:szCs w:val="32"/>
        </w:rPr>
        <w:t>支出9</w:t>
      </w:r>
      <w:r w:rsidR="002B0FE6" w:rsidRPr="00177B70">
        <w:rPr>
          <w:rFonts w:ascii="仿宋_GB2312" w:eastAsia="仿宋_GB2312" w:hAnsi="仿宋_GB2312" w:cs="仿宋_GB2312" w:hint="eastAsia"/>
          <w:sz w:val="32"/>
          <w:szCs w:val="32"/>
        </w:rPr>
        <w:t>27.25</w:t>
      </w:r>
      <w:r w:rsidR="006314D4" w:rsidRPr="00177B70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比2016年度增加22.43万元，增长2.48%。主要原因是</w:t>
      </w:r>
      <w:r w:rsidR="00772F95">
        <w:rPr>
          <w:rFonts w:ascii="仿宋_GB2312" w:eastAsia="仿宋_GB2312" w:hAnsi="仿宋_GB2312" w:cs="仿宋_GB2312" w:hint="eastAsia"/>
          <w:sz w:val="32"/>
          <w:szCs w:val="32"/>
        </w:rPr>
        <w:t>业务运转需要实际发生略有增加，</w:t>
      </w:r>
      <w:r w:rsidR="006314D4" w:rsidRPr="00177B70">
        <w:rPr>
          <w:rFonts w:ascii="仿宋_GB2312" w:eastAsia="仿宋_GB2312" w:hAnsi="仿宋_GB2312" w:cs="仿宋_GB2312" w:hint="eastAsia"/>
          <w:sz w:val="32"/>
          <w:szCs w:val="32"/>
        </w:rPr>
        <w:t>主要用于保证机关正常运转的办公及印刷费、邮电费</w:t>
      </w:r>
      <w:r w:rsidR="002B0FE6" w:rsidRPr="00177B70">
        <w:rPr>
          <w:rFonts w:ascii="仿宋_GB2312" w:eastAsia="仿宋_GB2312" w:hAnsi="仿宋_GB2312" w:cs="仿宋_GB2312" w:hint="eastAsia"/>
          <w:sz w:val="32"/>
          <w:szCs w:val="32"/>
        </w:rPr>
        <w:t>、差旅费、会议费、公务车运行维护费、业务耗材费、网络租赁费、</w:t>
      </w:r>
      <w:r w:rsidR="006314D4" w:rsidRPr="00177B70">
        <w:rPr>
          <w:rFonts w:ascii="仿宋_GB2312" w:eastAsia="仿宋_GB2312" w:hAnsi="仿宋_GB2312" w:cs="仿宋_GB2312" w:hint="eastAsia"/>
          <w:sz w:val="32"/>
          <w:szCs w:val="32"/>
        </w:rPr>
        <w:t>设备购置费及业务用房</w:t>
      </w:r>
      <w:r w:rsidR="002B0FE6" w:rsidRPr="00177B70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6314D4" w:rsidRPr="00177B70">
        <w:rPr>
          <w:rFonts w:ascii="仿宋_GB2312" w:eastAsia="仿宋_GB2312" w:hAnsi="仿宋_GB2312" w:cs="仿宋_GB2312" w:hint="eastAsia"/>
          <w:sz w:val="32"/>
          <w:szCs w:val="32"/>
        </w:rPr>
        <w:t>水电费、取暖费、日常维修费、物业管理费等支出。</w:t>
      </w:r>
    </w:p>
    <w:p w:rsidR="00887816" w:rsidRPr="00177B70" w:rsidRDefault="00177B70" w:rsidP="00412C7D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  <w:r w:rsidRPr="00177B70">
        <w:rPr>
          <w:rFonts w:ascii="仿宋_GB2312" w:eastAsia="仿宋_GB2312" w:hAnsi="黑体" w:cs="Times New Roman" w:hint="eastAsia"/>
          <w:sz w:val="32"/>
          <w:szCs w:val="32"/>
        </w:rPr>
        <w:t>2</w:t>
      </w:r>
      <w:r w:rsidR="00321138" w:rsidRPr="00177B70">
        <w:rPr>
          <w:rFonts w:ascii="仿宋_GB2312" w:eastAsia="仿宋_GB2312" w:hAnsi="黑体" w:cs="Times New Roman" w:hint="eastAsia"/>
          <w:sz w:val="32"/>
          <w:szCs w:val="32"/>
        </w:rPr>
        <w:t>、政府采购情况</w:t>
      </w:r>
    </w:p>
    <w:p w:rsidR="006748E4" w:rsidRPr="00177B70" w:rsidRDefault="00772F95" w:rsidP="006748E4">
      <w:pPr>
        <w:spacing w:line="360" w:lineRule="auto"/>
        <w:ind w:firstLine="645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1" w:name="_Toc471398468"/>
      <w:r>
        <w:rPr>
          <w:rFonts w:ascii="仿宋_GB2312" w:eastAsia="仿宋_GB2312" w:hAnsi="仿宋_GB2312" w:cs="仿宋_GB2312" w:hint="eastAsia"/>
          <w:sz w:val="32"/>
          <w:szCs w:val="32"/>
        </w:rPr>
        <w:t>2017年度本部门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 w:rsidRPr="00177B70">
        <w:rPr>
          <w:rFonts w:ascii="仿宋_GB2312" w:eastAsia="仿宋_GB2312" w:hAnsi="仿宋_GB2312" w:cs="仿宋_GB2312"/>
          <w:sz w:val="32"/>
          <w:szCs w:val="32"/>
        </w:rPr>
        <w:t>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支出总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额1105.74</w:t>
      </w:r>
      <w:r w:rsidRPr="00177B70">
        <w:rPr>
          <w:rFonts w:ascii="仿宋_GB2312" w:eastAsia="仿宋_GB2312" w:hAnsi="仿宋_GB2312" w:cs="仿宋_GB2312"/>
          <w:sz w:val="32"/>
          <w:szCs w:val="32"/>
        </w:rPr>
        <w:t>万元。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政府采购货物支出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357.94万元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、政府采购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188.8万元、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政府采购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 w:rsidRPr="00177B70">
        <w:rPr>
          <w:rFonts w:ascii="仿宋_GB2312" w:eastAsia="仿宋_GB2312" w:hAnsi="仿宋_GB2312" w:cs="仿宋_GB2312" w:hint="eastAsia"/>
          <w:sz w:val="32"/>
          <w:szCs w:val="32"/>
        </w:rPr>
        <w:t>559万元。</w:t>
      </w:r>
      <w:r w:rsidR="00FD26F8"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="006748E4" w:rsidRPr="00177B70">
        <w:rPr>
          <w:rFonts w:ascii="仿宋_GB2312" w:eastAsia="仿宋_GB2312" w:hAnsi="仿宋_GB2312" w:cs="仿宋_GB2312" w:hint="eastAsia"/>
          <w:sz w:val="32"/>
          <w:szCs w:val="32"/>
        </w:rPr>
        <w:t>严格依据政府采购程序履行审批手续，采购项目符合国家法律法</w:t>
      </w:r>
      <w:r w:rsidR="0018516E" w:rsidRPr="00177B7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748E4" w:rsidRPr="00177B70">
        <w:rPr>
          <w:rFonts w:ascii="仿宋_GB2312" w:eastAsia="仿宋_GB2312" w:hAnsi="仿宋_GB2312" w:cs="仿宋_GB2312" w:hint="eastAsia"/>
          <w:sz w:val="32"/>
          <w:szCs w:val="32"/>
        </w:rPr>
        <w:t>法规规定。</w:t>
      </w:r>
      <w:bookmarkEnd w:id="1"/>
    </w:p>
    <w:p w:rsidR="00887816" w:rsidRPr="00177B70" w:rsidRDefault="00177B70" w:rsidP="00177B7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3、</w:t>
      </w:r>
      <w:r w:rsidR="00321138" w:rsidRPr="00177B70">
        <w:rPr>
          <w:rFonts w:ascii="仿宋_GB2312" w:eastAsia="仿宋_GB2312" w:hAnsi="黑体" w:cs="Times New Roman" w:hint="eastAsia"/>
          <w:sz w:val="32"/>
          <w:szCs w:val="32"/>
        </w:rPr>
        <w:t>国有资产</w:t>
      </w:r>
      <w:r>
        <w:rPr>
          <w:rFonts w:ascii="仿宋_GB2312" w:eastAsia="仿宋_GB2312" w:hAnsi="黑体" w:cs="Times New Roman" w:hint="eastAsia"/>
          <w:sz w:val="32"/>
          <w:szCs w:val="32"/>
        </w:rPr>
        <w:t>占用情况</w:t>
      </w:r>
    </w:p>
    <w:p w:rsidR="00887816" w:rsidRDefault="0095597C" w:rsidP="00412C7D">
      <w:pPr>
        <w:spacing w:line="360" w:lineRule="auto"/>
        <w:ind w:firstLine="640"/>
        <w:rPr>
          <w:rFonts w:ascii="仿宋_GB2312" w:eastAsia="仿宋_GB2312" w:hAnsi="黑体" w:cs="Times New Roman"/>
          <w:sz w:val="32"/>
          <w:szCs w:val="32"/>
        </w:rPr>
      </w:pPr>
      <w:r w:rsidRPr="00177B70">
        <w:rPr>
          <w:rFonts w:ascii="仿宋_GB2312" w:eastAsia="仿宋_GB2312" w:hAnsi="仿宋" w:hint="eastAsia"/>
          <w:sz w:val="32"/>
          <w:szCs w:val="32"/>
        </w:rPr>
        <w:t>截至201</w:t>
      </w:r>
      <w:r w:rsidR="004007F4" w:rsidRPr="00177B70">
        <w:rPr>
          <w:rFonts w:ascii="仿宋_GB2312" w:eastAsia="仿宋_GB2312" w:hAnsi="仿宋" w:hint="eastAsia"/>
          <w:sz w:val="32"/>
          <w:szCs w:val="32"/>
        </w:rPr>
        <w:t>7</w:t>
      </w:r>
      <w:r w:rsidRPr="00177B70">
        <w:rPr>
          <w:rFonts w:ascii="仿宋_GB2312" w:eastAsia="仿宋_GB2312" w:hAnsi="仿宋" w:hint="eastAsia"/>
          <w:sz w:val="32"/>
          <w:szCs w:val="32"/>
        </w:rPr>
        <w:t>年12月31日，</w:t>
      </w:r>
      <w:r w:rsidR="002A637F">
        <w:rPr>
          <w:rFonts w:ascii="仿宋_GB2312" w:eastAsia="仿宋_GB2312" w:hAnsi="仿宋" w:hint="eastAsia"/>
          <w:sz w:val="32"/>
          <w:szCs w:val="32"/>
        </w:rPr>
        <w:t>本部门共有车辆19辆，其中，</w:t>
      </w:r>
      <w:r w:rsidR="002A637F">
        <w:rPr>
          <w:rFonts w:ascii="仿宋_GB2312" w:eastAsia="仿宋_GB2312" w:hAnsi="仿宋" w:hint="eastAsia"/>
          <w:sz w:val="32"/>
          <w:szCs w:val="32"/>
        </w:rPr>
        <w:lastRenderedPageBreak/>
        <w:t>市级领导干部用车0辆、一般公务用车19辆、一般执法执勤用车0辆、特种专业技术用车0辆、其他用车0辆。单位价值50万元以上大型设备1套，具体情况</w:t>
      </w:r>
      <w:r w:rsidR="00321138" w:rsidRPr="00177B70">
        <w:rPr>
          <w:rFonts w:ascii="仿宋_GB2312" w:eastAsia="仿宋_GB2312" w:hAnsi="黑体" w:cs="Times New Roman" w:hint="eastAsia"/>
          <w:sz w:val="32"/>
          <w:szCs w:val="32"/>
        </w:rPr>
        <w:t>详见下表</w:t>
      </w:r>
      <w:r w:rsidR="002A637F">
        <w:rPr>
          <w:rFonts w:ascii="仿宋_GB2312" w:eastAsia="仿宋_GB2312" w:hAnsi="黑体" w:cs="Times New Roman" w:hint="eastAsia"/>
          <w:sz w:val="32"/>
          <w:szCs w:val="32"/>
        </w:rPr>
        <w:t>。</w:t>
      </w:r>
    </w:p>
    <w:p w:rsidR="00A9342E" w:rsidRDefault="00A9342E" w:rsidP="00A9342E">
      <w:pPr>
        <w:widowControl/>
        <w:spacing w:line="360" w:lineRule="auto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</w:t>
      </w:r>
      <w:r w:rsidRPr="00CD48A2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固定资产占用情况表</w:t>
      </w:r>
    </w:p>
    <w:p w:rsidR="002A637F" w:rsidRPr="00A9342E" w:rsidRDefault="00A9342E" w:rsidP="00A9342E">
      <w:pPr>
        <w:spacing w:line="360" w:lineRule="auto"/>
        <w:ind w:firstLine="640"/>
        <w:rPr>
          <w:rFonts w:ascii="仿宋_GB2312" w:eastAsia="仿宋_GB2312" w:hAnsi="黑体" w:cs="Times New Roman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</w:t>
      </w:r>
      <w:r w:rsidRPr="00A9342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</w:t>
      </w:r>
      <w:r w:rsidRPr="00A9342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截止时间：2017年12月31日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2126"/>
        <w:gridCol w:w="3261"/>
        <w:gridCol w:w="992"/>
      </w:tblGrid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   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资产总额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7581.4</w:t>
            </w:r>
          </w:p>
        </w:tc>
      </w:tr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1、房屋（平方米）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8523.19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4056.27</w:t>
            </w:r>
          </w:p>
        </w:tc>
      </w:tr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其中：办公用房（平方米）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8523.19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4056.27</w:t>
            </w:r>
          </w:p>
        </w:tc>
      </w:tr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2、车辆（台、辆）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318.06</w:t>
            </w:r>
          </w:p>
        </w:tc>
      </w:tr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3、单价在50万元以上设备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191.9</w:t>
            </w:r>
            <w:r w:rsidR="00793B1D"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</w:p>
        </w:tc>
      </w:tr>
      <w:tr w:rsidR="00A9342E" w:rsidTr="00706880">
        <w:trPr>
          <w:gridAfter w:val="1"/>
          <w:wAfter w:w="992" w:type="dxa"/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4、其他固定资产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42E" w:rsidRDefault="00A9342E" w:rsidP="007068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3015.17</w:t>
            </w:r>
          </w:p>
        </w:tc>
      </w:tr>
      <w:tr w:rsidR="00887816" w:rsidRPr="00177B70" w:rsidTr="00BE4F35">
        <w:trPr>
          <w:trHeight w:val="70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42E" w:rsidRPr="00A9342E" w:rsidRDefault="00A9342E" w:rsidP="00A9342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CD48A2" w:rsidRDefault="00CD48A2" w:rsidP="00CD48A2">
      <w:pPr>
        <w:spacing w:line="360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4、其他需要说明的情况</w:t>
      </w:r>
    </w:p>
    <w:p w:rsidR="00CD48A2" w:rsidRPr="00177B70" w:rsidRDefault="00FD26F8" w:rsidP="00CD48A2">
      <w:pPr>
        <w:spacing w:line="360" w:lineRule="auto"/>
        <w:ind w:firstLineChars="221" w:firstLine="7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本部门</w:t>
      </w:r>
      <w:r w:rsidR="00CD48A2" w:rsidRPr="00177B70">
        <w:rPr>
          <w:rFonts w:ascii="仿宋_GB2312" w:eastAsia="仿宋_GB2312" w:hAnsi="仿宋" w:hint="eastAsia"/>
          <w:sz w:val="32"/>
          <w:szCs w:val="32"/>
        </w:rPr>
        <w:t>无政府性基金预算财政拨款收支和国有资本经营预算财政拨款收支，因此相关表格数据为零。</w:t>
      </w:r>
    </w:p>
    <w:sectPr w:rsidR="00CD48A2" w:rsidRPr="00177B70" w:rsidSect="00BE4F35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E7" w:rsidRDefault="006C14E7" w:rsidP="000A6D38">
      <w:r>
        <w:separator/>
      </w:r>
    </w:p>
  </w:endnote>
  <w:endnote w:type="continuationSeparator" w:id="0">
    <w:p w:rsidR="006C14E7" w:rsidRDefault="006C14E7" w:rsidP="000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E7" w:rsidRDefault="006C14E7" w:rsidP="000A6D38">
      <w:r>
        <w:separator/>
      </w:r>
    </w:p>
  </w:footnote>
  <w:footnote w:type="continuationSeparator" w:id="0">
    <w:p w:rsidR="006C14E7" w:rsidRDefault="006C14E7" w:rsidP="000A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1AD8"/>
    <w:multiLevelType w:val="hybridMultilevel"/>
    <w:tmpl w:val="B55E64F8"/>
    <w:lvl w:ilvl="0" w:tplc="39E45F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182015"/>
    <w:multiLevelType w:val="hybridMultilevel"/>
    <w:tmpl w:val="536E1B08"/>
    <w:lvl w:ilvl="0" w:tplc="623622E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818F2D"/>
    <w:multiLevelType w:val="singleLevel"/>
    <w:tmpl w:val="58818F2D"/>
    <w:lvl w:ilvl="0">
      <w:start w:val="2"/>
      <w:numFmt w:val="decimal"/>
      <w:suff w:val="nothing"/>
      <w:lvlText w:val="%1、"/>
      <w:lvlJc w:val="left"/>
    </w:lvl>
  </w:abstractNum>
  <w:abstractNum w:abstractNumId="3">
    <w:nsid w:val="5881B3F2"/>
    <w:multiLevelType w:val="singleLevel"/>
    <w:tmpl w:val="5881B3F2"/>
    <w:lvl w:ilvl="0">
      <w:start w:val="8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6032"/>
    <w:rsid w:val="00005ACD"/>
    <w:rsid w:val="0001075E"/>
    <w:rsid w:val="000269EB"/>
    <w:rsid w:val="00037AF6"/>
    <w:rsid w:val="000630FC"/>
    <w:rsid w:val="000712C9"/>
    <w:rsid w:val="00075D5F"/>
    <w:rsid w:val="0009050A"/>
    <w:rsid w:val="000A6D38"/>
    <w:rsid w:val="000B3E8D"/>
    <w:rsid w:val="000C3A19"/>
    <w:rsid w:val="000E2D00"/>
    <w:rsid w:val="00112207"/>
    <w:rsid w:val="001245BB"/>
    <w:rsid w:val="00150FA8"/>
    <w:rsid w:val="0015214E"/>
    <w:rsid w:val="001534B6"/>
    <w:rsid w:val="00177B70"/>
    <w:rsid w:val="001814B1"/>
    <w:rsid w:val="0018516E"/>
    <w:rsid w:val="001C7D58"/>
    <w:rsid w:val="00213E87"/>
    <w:rsid w:val="00223C41"/>
    <w:rsid w:val="00241FD4"/>
    <w:rsid w:val="00251B12"/>
    <w:rsid w:val="00253367"/>
    <w:rsid w:val="002614DB"/>
    <w:rsid w:val="0026573D"/>
    <w:rsid w:val="00280CFD"/>
    <w:rsid w:val="00296113"/>
    <w:rsid w:val="00297B0E"/>
    <w:rsid w:val="002A637F"/>
    <w:rsid w:val="002B0FE6"/>
    <w:rsid w:val="002B68AB"/>
    <w:rsid w:val="002D4817"/>
    <w:rsid w:val="002F3E58"/>
    <w:rsid w:val="0030542C"/>
    <w:rsid w:val="00311B7A"/>
    <w:rsid w:val="00314C7B"/>
    <w:rsid w:val="00314E66"/>
    <w:rsid w:val="00321138"/>
    <w:rsid w:val="00321287"/>
    <w:rsid w:val="0032295E"/>
    <w:rsid w:val="003329D8"/>
    <w:rsid w:val="0036087E"/>
    <w:rsid w:val="00362FEB"/>
    <w:rsid w:val="003759C3"/>
    <w:rsid w:val="0037624F"/>
    <w:rsid w:val="00394D5C"/>
    <w:rsid w:val="003F1467"/>
    <w:rsid w:val="004007F4"/>
    <w:rsid w:val="004012F7"/>
    <w:rsid w:val="004125BC"/>
    <w:rsid w:val="00412C7D"/>
    <w:rsid w:val="00423402"/>
    <w:rsid w:val="00427184"/>
    <w:rsid w:val="00451871"/>
    <w:rsid w:val="00472923"/>
    <w:rsid w:val="004815BC"/>
    <w:rsid w:val="004A5123"/>
    <w:rsid w:val="004E3066"/>
    <w:rsid w:val="004E74CD"/>
    <w:rsid w:val="004F53B0"/>
    <w:rsid w:val="0052561E"/>
    <w:rsid w:val="005379BA"/>
    <w:rsid w:val="00573562"/>
    <w:rsid w:val="005B4C6B"/>
    <w:rsid w:val="005B6893"/>
    <w:rsid w:val="00614A29"/>
    <w:rsid w:val="00624C33"/>
    <w:rsid w:val="006314D4"/>
    <w:rsid w:val="006337EA"/>
    <w:rsid w:val="00643679"/>
    <w:rsid w:val="0064644B"/>
    <w:rsid w:val="006748E4"/>
    <w:rsid w:val="00695466"/>
    <w:rsid w:val="006A1162"/>
    <w:rsid w:val="006C14E7"/>
    <w:rsid w:val="006D01B4"/>
    <w:rsid w:val="006D625C"/>
    <w:rsid w:val="006E1BFF"/>
    <w:rsid w:val="006E3FDA"/>
    <w:rsid w:val="00735A05"/>
    <w:rsid w:val="00741679"/>
    <w:rsid w:val="0075393C"/>
    <w:rsid w:val="00772F95"/>
    <w:rsid w:val="00776C08"/>
    <w:rsid w:val="00793B1D"/>
    <w:rsid w:val="007A5CCD"/>
    <w:rsid w:val="007A7F27"/>
    <w:rsid w:val="007E1DA8"/>
    <w:rsid w:val="007F6C26"/>
    <w:rsid w:val="007F6D8E"/>
    <w:rsid w:val="008334AE"/>
    <w:rsid w:val="00836FED"/>
    <w:rsid w:val="008442C2"/>
    <w:rsid w:val="00845CD2"/>
    <w:rsid w:val="00850B48"/>
    <w:rsid w:val="00852B0D"/>
    <w:rsid w:val="00881692"/>
    <w:rsid w:val="00887816"/>
    <w:rsid w:val="00887B5F"/>
    <w:rsid w:val="008B1EC4"/>
    <w:rsid w:val="008B3CC5"/>
    <w:rsid w:val="008C55ED"/>
    <w:rsid w:val="008E4261"/>
    <w:rsid w:val="008F3E86"/>
    <w:rsid w:val="008F4662"/>
    <w:rsid w:val="00905D08"/>
    <w:rsid w:val="00925753"/>
    <w:rsid w:val="0095597C"/>
    <w:rsid w:val="009605AB"/>
    <w:rsid w:val="00966C5C"/>
    <w:rsid w:val="00970F78"/>
    <w:rsid w:val="00973104"/>
    <w:rsid w:val="009A66B9"/>
    <w:rsid w:val="009D51E6"/>
    <w:rsid w:val="00A02800"/>
    <w:rsid w:val="00A2082B"/>
    <w:rsid w:val="00A249A4"/>
    <w:rsid w:val="00A259BD"/>
    <w:rsid w:val="00A50595"/>
    <w:rsid w:val="00A542C3"/>
    <w:rsid w:val="00A67053"/>
    <w:rsid w:val="00A72D2E"/>
    <w:rsid w:val="00A911E7"/>
    <w:rsid w:val="00A9301A"/>
    <w:rsid w:val="00A9342E"/>
    <w:rsid w:val="00A939D9"/>
    <w:rsid w:val="00A97611"/>
    <w:rsid w:val="00AD2FC2"/>
    <w:rsid w:val="00AD3812"/>
    <w:rsid w:val="00AE3E66"/>
    <w:rsid w:val="00B04BE9"/>
    <w:rsid w:val="00B20712"/>
    <w:rsid w:val="00B43238"/>
    <w:rsid w:val="00B54068"/>
    <w:rsid w:val="00B5631C"/>
    <w:rsid w:val="00B75216"/>
    <w:rsid w:val="00B91D52"/>
    <w:rsid w:val="00BA1ACD"/>
    <w:rsid w:val="00BA75FD"/>
    <w:rsid w:val="00BE260C"/>
    <w:rsid w:val="00BE4D99"/>
    <w:rsid w:val="00BE4F35"/>
    <w:rsid w:val="00C27471"/>
    <w:rsid w:val="00C36F15"/>
    <w:rsid w:val="00C4669F"/>
    <w:rsid w:val="00CA7176"/>
    <w:rsid w:val="00CC002B"/>
    <w:rsid w:val="00CC163D"/>
    <w:rsid w:val="00CD2773"/>
    <w:rsid w:val="00CD48A2"/>
    <w:rsid w:val="00CE143B"/>
    <w:rsid w:val="00D16E2F"/>
    <w:rsid w:val="00D349DA"/>
    <w:rsid w:val="00D74B13"/>
    <w:rsid w:val="00D84280"/>
    <w:rsid w:val="00DC3261"/>
    <w:rsid w:val="00DE7369"/>
    <w:rsid w:val="00E167C7"/>
    <w:rsid w:val="00E263EE"/>
    <w:rsid w:val="00E27B25"/>
    <w:rsid w:val="00E30D22"/>
    <w:rsid w:val="00E32C10"/>
    <w:rsid w:val="00E45CDE"/>
    <w:rsid w:val="00E71576"/>
    <w:rsid w:val="00E754F1"/>
    <w:rsid w:val="00E925DB"/>
    <w:rsid w:val="00EA7524"/>
    <w:rsid w:val="00EB7CA7"/>
    <w:rsid w:val="00EC47F6"/>
    <w:rsid w:val="00EE2EBF"/>
    <w:rsid w:val="00EF1D28"/>
    <w:rsid w:val="00F36EC3"/>
    <w:rsid w:val="00F405B5"/>
    <w:rsid w:val="00F66032"/>
    <w:rsid w:val="00F87F4E"/>
    <w:rsid w:val="00F958C2"/>
    <w:rsid w:val="00FD26F8"/>
    <w:rsid w:val="00FE148F"/>
    <w:rsid w:val="01FB23CB"/>
    <w:rsid w:val="0B0D77B0"/>
    <w:rsid w:val="0C3D5924"/>
    <w:rsid w:val="0D9F1876"/>
    <w:rsid w:val="10ED36A0"/>
    <w:rsid w:val="114917E9"/>
    <w:rsid w:val="15F42192"/>
    <w:rsid w:val="19C36DAA"/>
    <w:rsid w:val="1A5D684E"/>
    <w:rsid w:val="1ABE55EE"/>
    <w:rsid w:val="1D954D97"/>
    <w:rsid w:val="2A012DF7"/>
    <w:rsid w:val="303D4E30"/>
    <w:rsid w:val="316E2FA4"/>
    <w:rsid w:val="3507028C"/>
    <w:rsid w:val="3595643A"/>
    <w:rsid w:val="38E01BC5"/>
    <w:rsid w:val="3CD42DDC"/>
    <w:rsid w:val="429960CF"/>
    <w:rsid w:val="45C76287"/>
    <w:rsid w:val="471D5503"/>
    <w:rsid w:val="492C0AE6"/>
    <w:rsid w:val="4A5B700A"/>
    <w:rsid w:val="4DF57B76"/>
    <w:rsid w:val="541C1C0A"/>
    <w:rsid w:val="55145A25"/>
    <w:rsid w:val="55383E38"/>
    <w:rsid w:val="5911172D"/>
    <w:rsid w:val="59870472"/>
    <w:rsid w:val="5E731884"/>
    <w:rsid w:val="67706CC4"/>
    <w:rsid w:val="678A783D"/>
    <w:rsid w:val="685B7F7B"/>
    <w:rsid w:val="6C053E44"/>
    <w:rsid w:val="6CA86ED0"/>
    <w:rsid w:val="724C7A91"/>
    <w:rsid w:val="72617A36"/>
    <w:rsid w:val="7EB2342C"/>
    <w:rsid w:val="7F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1">
    <w:name w:val="toc 1"/>
    <w:basedOn w:val="a"/>
    <w:next w:val="a"/>
    <w:rPr>
      <w:rFonts w:ascii="Times New Roman" w:hAnsi="Times New Roman" w:cs="Times New Roman"/>
      <w:szCs w:val="24"/>
    </w:rPr>
  </w:style>
  <w:style w:type="paragraph" w:styleId="2">
    <w:name w:val="toc 2"/>
    <w:basedOn w:val="a"/>
    <w:next w:val="a"/>
    <w:pPr>
      <w:ind w:leftChars="200" w:left="420"/>
    </w:pPr>
    <w:rPr>
      <w:rFonts w:ascii="Times New Roman" w:hAnsi="Times New Roman" w:cs="Times New Roman"/>
      <w:szCs w:val="24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6D01B4"/>
    <w:pPr>
      <w:widowControl/>
      <w:spacing w:line="405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253367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253367"/>
    <w:rPr>
      <w:rFonts w:ascii="Cambria" w:hAnsi="Cambria"/>
      <w:b/>
      <w:bCs/>
      <w:kern w:val="2"/>
      <w:sz w:val="32"/>
      <w:szCs w:val="32"/>
    </w:rPr>
  </w:style>
  <w:style w:type="character" w:customStyle="1" w:styleId="apple-style-span">
    <w:name w:val="apple-style-span"/>
    <w:basedOn w:val="a0"/>
    <w:rsid w:val="00B54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4</Pages>
  <Words>275</Words>
  <Characters>1569</Characters>
  <Application>Microsoft Office Word</Application>
  <DocSecurity>0</DocSecurity>
  <Lines>13</Lines>
  <Paragraphs>3</Paragraphs>
  <ScaleCrop>false</ScaleCrop>
  <Company>MS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河北省2017年部门预算信息公开</dc:title>
  <dc:creator>guest</dc:creator>
  <cp:lastModifiedBy>USER</cp:lastModifiedBy>
  <cp:revision>59</cp:revision>
  <cp:lastPrinted>2017-07-20T01:35:00Z</cp:lastPrinted>
  <dcterms:created xsi:type="dcterms:W3CDTF">2017-01-20T01:29:00Z</dcterms:created>
  <dcterms:modified xsi:type="dcterms:W3CDTF">2019-01-25T05:59:00Z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