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唐山市工业和信息化局</w:t>
      </w:r>
    </w:p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有关事项的说明</w:t>
      </w:r>
    </w:p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按照《预算法》《河北省预决算公开操作规程实施细则》规定，现将201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年部门预算公开如下：</w:t>
      </w:r>
    </w:p>
    <w:p>
      <w:pPr>
        <w:wordWrap/>
        <w:snapToGrid/>
        <w:spacing w:line="600" w:lineRule="exact"/>
        <w:ind w:right="0" w:firstLine="64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一、部门职责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机构设置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等基本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</w:t>
      </w:r>
    </w:p>
    <w:p>
      <w:pPr>
        <w:wordWrap/>
        <w:snapToGrid/>
        <w:spacing w:line="600" w:lineRule="exact"/>
        <w:ind w:right="0" w:firstLine="643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部门职责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1、提出全市新型工业化发展战略和政策，协调解决新型工业化进程中的重大问题，拟订并组织实施工业、信息化的发展规划，推进产业结构战略性调整和优化升级，推进信息化和工业化融合。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2、制订并组织实施全市工业行业规划、计划和产业政策，提出优化产业布局、结构的政策建议，推进现代产业体系建设，起草地方性法规、规章草案，组织实施行业技术规范和标准，指导行业质量管理工作。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3、监测、分析全市工业运行态势，统计并发布相关信息，进行预测预警和信息引导，协调解决行业运行发展中的有关问题并提出政策建议，负责工业应急管理、产业安全和国防动员有关工作；负责工业煤、电、油、气及交通运输调度工作，组织工业重要物资的紧急调度；参与研究拟定全市电力发展的总体规划和年度计划；根据全市电力总体规划和年度计划，负责新建、扩建项目用电扩容的审查；负责电力行业管理和行政执法，编制电力运行供应调控方案，协调解决电力生产、运行和供应中的重大问题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4、负责提出全市工业、信息化固定资产投资规模、方向（含利用外资和境外投资）和国家、省、市财政性建设资金安排的意见，按市政府规定权限，审批、核准、备案省和市规划内及年度计划规模内固定资产投资项目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5、贯彻国家政策和标准，拟订高技术产业中涉及生物医药、新材料、信息产业等规划并组织实施；指导行业技术创新和技术进步，以先进适用技术改造提升传统产业；组织实施有关国家和省、市科技重大专项，推进相关科研成果产业化，推动全市软件业、信息服务业和新兴产业发展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6、承担全市振兴装备制造业的组织协调责任，贯彻执行国家重大技术装备发展和自主创新规划、政策，依托国家和省、市重点工程建设协调有关重大专项的实施，推进重大技术装备国产化，指导引进重大技术装备的消化创新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7、拟订并组织实施全市工业能源节约和资源综合利用、清洁生产促进政策，参与拟订能源节约和资源综合利用、清洁生产促进规划，组织协调相关重大示范工程和新产品、新技术、新设备、新材料的推广应用；负责完成淘汰落后产能目标任务和综合协调工作；指导散装水泥推广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8、推进全市工业体制改革和管理创新，提高行业综合素质和核心竞争力，指导相关行业加强安全生产管理。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9、统筹推进全市信息化工作，组织拟订相关政策并协调信息化建设中的重大问题，促进电信、广播电视和计算机网络融合，指导协调电子政务发展，推动跨行业、跨部门的互联互通和重要信息资源的开发利用、共享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10、负责协调维护全市信息安全和信息安全保障体系建设，指导监督重点行业重要信息系统与基础信息网络的安全保障工作，协调处理信息安全重大事件，承担跨部门、跨地区和重要时期的信息安全应急协调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11、负责对全市中小企业和民营经济的宏观指导、综合协调，会同有关部门拟订全市中小企业和民营经济的地方性法规、规章草案、发展规划和扶持政策并组织实施，协调解决发展中的重大问题。拟订并组织实施中小企业产业集群发展规划；推动建立中小企业创业风险投资引导资金，确定资金使用方向；负责中小企业信用担保体系、创业辅导体系、信用评价体系等中小企业服务体系建设，引导各类中介组织为中小企业服务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12、组织协调军工生产和军转民的有关工作。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13、开展工业、信息化的对外合作与交流。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14、承担履行《禁止化学武器公约》的组织协调工作。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15、承办市政府交办的其他事项。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1）市工业和信息化局作为行业管理部门，主要是管规划、管政策、管标准，指导行业发展。坚持政企分开的原则，不干预企业生产经营活动。充分发挥行业协会和社会中介组织的作用。负责联系和指导市工业经济联合会及有关行业协会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（2）炼油、煤制燃料和燃料乙醇的行业管理由市发改委负责，其他石油化工和煤化工的行业管理由市工业和信息化局负责。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3）市发改委、工业和信息化局关于工业、信息化技改项目管理职责分工。按照规定权限，需由省发改委审批的工业、信息化技改项目，由市工业和信息化局初审，市发改委核准后，上报省发改委；按照规定权限，由市审批的工业、信息化技改项目，由市工业和信息化局审批后，报市发改委备案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二）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机构设置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部门机构设置情况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表</w:t>
      </w:r>
    </w:p>
    <w:tbl>
      <w:tblPr>
        <w:tblpPr w:leftFromText="180" w:rightFromText="180" w:vertAnchor="text" w:horzAnchor="page" w:tblpX="1868" w:tblpY="695"/>
        <w:tblOverlap w:val="never"/>
        <w:tblW w:w="134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755"/>
        <w:gridCol w:w="1794"/>
        <w:gridCol w:w="1803"/>
        <w:gridCol w:w="5068"/>
      </w:tblGrid>
      <w:tr>
        <w:trPr>
          <w:trHeight w:val="552" w:hRule="exact"/>
          <w:tblHeader/>
        </w:trPr>
        <w:tc>
          <w:tcPr>
            <w:tcW w:w="4755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单位名称</w:t>
            </w:r>
          </w:p>
        </w:tc>
        <w:tc>
          <w:tcPr>
            <w:tcW w:w="1794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单位性质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单位规格</w:t>
            </w:r>
          </w:p>
        </w:tc>
        <w:tc>
          <w:tcPr>
            <w:tcW w:w="5068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经费保障形式</w:t>
            </w:r>
          </w:p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>
        <w:trPr>
          <w:trHeight w:val="552" w:hRule="exact"/>
          <w:tblHeader/>
        </w:trPr>
        <w:tc>
          <w:tcPr>
            <w:tcW w:w="4755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5068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rPr>
          <w:trHeight w:val="552" w:hRule="exact"/>
        </w:trPr>
        <w:tc>
          <w:tcPr>
            <w:tcW w:w="4755" w:type="dxa"/>
            <w:vAlign w:val="center"/>
          </w:tcPr>
          <w:p>
            <w:pPr>
              <w:tabs>
                <w:tab w:val="left" w:pos="2665"/>
              </w:tabs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唐山市工业和信息化局</w:t>
            </w:r>
          </w:p>
        </w:tc>
        <w:tc>
          <w:tcPr>
            <w:tcW w:w="179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行政</w:t>
            </w:r>
          </w:p>
        </w:tc>
        <w:tc>
          <w:tcPr>
            <w:tcW w:w="1803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正处级</w:t>
            </w:r>
          </w:p>
        </w:tc>
        <w:tc>
          <w:tcPr>
            <w:tcW w:w="5068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财政拨款</w:t>
            </w:r>
          </w:p>
        </w:tc>
      </w:tr>
      <w:tr>
        <w:trPr>
          <w:trHeight w:val="552" w:hRule="exact"/>
        </w:trPr>
        <w:tc>
          <w:tcPr>
            <w:tcW w:w="475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唐山市工业经济联合会</w:t>
            </w:r>
          </w:p>
        </w:tc>
        <w:tc>
          <w:tcPr>
            <w:tcW w:w="179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参公</w:t>
            </w:r>
          </w:p>
        </w:tc>
        <w:tc>
          <w:tcPr>
            <w:tcW w:w="1803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副处级</w:t>
            </w:r>
          </w:p>
        </w:tc>
        <w:tc>
          <w:tcPr>
            <w:tcW w:w="5068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财政性资金基本保证</w:t>
            </w:r>
          </w:p>
        </w:tc>
      </w:tr>
      <w:tr>
        <w:trPr>
          <w:trHeight w:val="552" w:hRule="exact"/>
        </w:trPr>
        <w:tc>
          <w:tcPr>
            <w:tcW w:w="475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唐山市乡镇建材管理服务处</w:t>
            </w:r>
          </w:p>
        </w:tc>
        <w:tc>
          <w:tcPr>
            <w:tcW w:w="179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803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5068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财政性资金基本保证</w:t>
            </w:r>
          </w:p>
        </w:tc>
      </w:tr>
      <w:tr>
        <w:trPr>
          <w:trHeight w:val="552" w:hRule="exact"/>
        </w:trPr>
        <w:tc>
          <w:tcPr>
            <w:tcW w:w="475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唐山市化工研究所</w:t>
            </w:r>
          </w:p>
        </w:tc>
        <w:tc>
          <w:tcPr>
            <w:tcW w:w="179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803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5068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财政性资金定额或定项补助</w:t>
            </w:r>
          </w:p>
        </w:tc>
      </w:tr>
      <w:tr>
        <w:trPr>
          <w:trHeight w:val="623" w:hRule="exact"/>
        </w:trPr>
        <w:tc>
          <w:tcPr>
            <w:tcW w:w="475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唐山市机械电子研究所</w:t>
            </w:r>
          </w:p>
        </w:tc>
        <w:tc>
          <w:tcPr>
            <w:tcW w:w="179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803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5068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财政性资金定额或定项补助</w:t>
            </w:r>
          </w:p>
        </w:tc>
      </w:tr>
    </w:tbl>
    <w:p>
      <w:pPr>
        <w:wordWrap/>
        <w:snapToGrid/>
        <w:spacing w:line="600" w:lineRule="exact"/>
        <w:ind w:right="0"/>
        <w:textAlignment w:val="auto"/>
      </w:pPr>
    </w:p>
    <w:p>
      <w:pPr>
        <w:wordWrap/>
        <w:snapToGrid/>
        <w:spacing w:line="600" w:lineRule="exact"/>
        <w:ind w:right="0" w:firstLine="64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二、部门预算安排的总体情况</w:t>
      </w: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收入说明</w:t>
      </w: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反映本部门当年全部收入，201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年预算收入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万元，其中：一般公共预算拨款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4711.22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国有资源（资产）有偿使用收入70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numPr>
          <w:numId w:val="0"/>
        </w:numPr>
        <w:wordWrap/>
        <w:snapToGrid/>
        <w:spacing w:line="600" w:lineRule="exact"/>
        <w:ind w:right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支出说明</w:t>
      </w:r>
    </w:p>
    <w:p>
      <w:pPr>
        <w:wordWrap/>
        <w:snapToGrid/>
        <w:spacing w:line="60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收支预算总表支出栏、基本支出表、项目支出表按经济分类和支出功能分类科目编制，反映本部门年度部门预算中支出预算的总体情况。201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年部门支出预算为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4781.22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万元，其中基本支出2771.22万元，包括人员经费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2229.21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万元和公用经费542.01万元；专项项目支出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万元，全部为本级支出。</w:t>
      </w:r>
    </w:p>
    <w:p>
      <w:pPr>
        <w:numPr>
          <w:numId w:val="0"/>
        </w:numPr>
        <w:wordWrap/>
        <w:snapToGrid/>
        <w:spacing w:line="600" w:lineRule="exact"/>
        <w:ind w:right="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比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2017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年增减情况</w:t>
      </w:r>
    </w:p>
    <w:p>
      <w:pPr>
        <w:wordWrap/>
        <w:snapToGrid/>
        <w:spacing w:line="60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年部门预算较201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加1667.08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万元，其中：基本支出减少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186.4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万元；项目支出增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加1790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三、机关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运行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经费安排情况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2018年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机关正常公用经费共计安排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297.12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万元，包括定额安排公用经费1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57.24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按规定比例提取安排公用经费1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8万元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和非定额安排公用经费13.5万元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。主要用于保证机关正常运转的办公费、邮电费、差旅费、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物业管理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费、维修（护）费、公务车运行维护费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公务交通补贴、培训费、公务接待费、工会经费、福利费、水费、电费、取暖费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等支出。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四、财政拨款“三公”经费预算情况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一般公共预算拨款安排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“三公”经费预算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29.22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万元，其中：因公出国（境）费0万元；公务用车购置及运维费27.2万元（其中：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公务用车购置费0万元，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公务用车运行费27.2万元)；公务接待费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万元。比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增加0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9万元。其中：因公出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国（境）费与上年无变化；公务用车购置及运维费比上年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无变化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；公务接待费比上年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增加0.09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万元，主要原因为公务接待费为按规定比例提取安排的公用经费，机关定额安排公用经费数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增加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所以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公务接待费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增加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五、绩效预算信息</w:t>
      </w:r>
    </w:p>
    <w:p>
      <w:pPr>
        <w:wordWrap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bookmarkStart w:id="0" w:name="_Toc471398463"/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总体绩效目标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到2020年，全市工业转型升级取得显著成效，综合竞争力显著提升，跻身沿海城市“第二梯队”中上游，实现从“工业大市”向“工业强市”的重大跨越，把我市建设成为环渤海地区新型工业化基地。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综合实力显著增强。到2020年全市规模以上企业超过2600家，工业经济总量达到6000亿元，跻身全国城市前十强。到2020年，主营业务收入超过50亿元的大企业集团达到80家以上，其中主营业务收入超过100亿元的大企业集团达到20家以上，入围中国制造业500强企业达到10家。培育1500家成长型中小企业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产业结构持续优化。传统产业竞争力明显增强，产业链不断完善，终端商品比例明显提高。装备制造业、战略性新兴产业增加值年均增长20%以上，到2020年占规模以上工业比重分别达到25%和12%以上，工业经济增长实现由单一传统产业向多产业支撑转变。每年实施技术改造和转型升级产业项目100项，全市工业固定资产投资年均增长16%以上，企业技术改造投资年均增长12%以上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两化融合深度发展。全市信息化与工业化融合发展指数达到80%以上。每年实施两化深度融合项目100项，培育两化深度融合示范企业10-15家。到2020年，重点骨干企业信息技术集成应用达到国内先进水平，主要行业大中型企业关键工序数控化率达到80%。传统支柱产业 80%的核心装备达到国际先进水平。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创新能力大为增强。每年滚动实施重大专利技术产业化项目30项，转化专利技术100项，有效发明专利拥有量年均增长10%以上；传统支柱产业80%的核心装备达到国际先进水平；到2020年，85%以上的规模以上企业建立科技研发机构，规模以上企业研发支出占销售收入的比重达到2%，科技创新能力和水平位居全省前列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——节能减排成效显著。全面完成化解过剩产能任务，完成省达万元工业增加值能耗降低率任务。</w:t>
      </w:r>
    </w:p>
    <w:p>
      <w:pPr>
        <w:numPr>
          <w:ilvl w:val="0"/>
          <w:numId w:val="1"/>
        </w:numPr>
        <w:wordWrap/>
        <w:snapToGrid/>
        <w:spacing w:line="600" w:lineRule="exact"/>
        <w:ind w:right="0" w:firstLine="643" w:firstLineChars="200"/>
        <w:jc w:val="left"/>
        <w:textAlignment w:val="auto"/>
        <w:outlineLvl w:val="0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部门职责及工作活动绩效目标指标</w:t>
      </w: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  <w:bookmarkStart w:id="1" w:name="_Toc383873147"/>
      <w:bookmarkStart w:id="2" w:name="_Toc476225373"/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部门</w:t>
      </w:r>
      <w:bookmarkEnd w:id="1"/>
      <w:r>
        <w:rPr>
          <w:rFonts w:hint="eastAsia" w:ascii="黑体" w:hAnsi="黑体" w:eastAsia="黑体"/>
          <w:b/>
          <w:sz w:val="32"/>
          <w:szCs w:val="32"/>
        </w:rPr>
        <w:t>职责-工作活动绩效目标</w:t>
      </w:r>
      <w:bookmarkEnd w:id="0"/>
      <w:bookmarkEnd w:id="2"/>
    </w:p>
    <w:p>
      <w:pPr>
        <w:wordWrap/>
        <w:snapToGrid/>
        <w:spacing w:line="600" w:lineRule="exact"/>
        <w:ind w:right="0"/>
        <w:textAlignment w:val="auto"/>
        <w:outlineLvl w:val="0"/>
        <w:rPr>
          <w:rFonts w:ascii="方正小标宋_GBK" w:eastAsia="方正小标宋_GBK"/>
          <w:sz w:val="32"/>
        </w:rPr>
      </w:pPr>
    </w:p>
    <w:tbl>
      <w:tblPr>
        <w:tblW w:w="14944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1276"/>
        <w:gridCol w:w="3827"/>
        <w:gridCol w:w="2693"/>
        <w:gridCol w:w="1843"/>
        <w:gridCol w:w="851"/>
        <w:gridCol w:w="951"/>
        <w:gridCol w:w="951"/>
        <w:gridCol w:w="850"/>
      </w:tblGrid>
      <w:tr>
        <w:trPr>
          <w:cantSplit/>
          <w:tblHeader/>
        </w:trPr>
        <w:tc>
          <w:tcPr>
            <w:tcW w:w="949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623唐山市工业和信息化局</w:t>
            </w:r>
          </w:p>
        </w:tc>
        <w:tc>
          <w:tcPr>
            <w:tcW w:w="5446" w:type="dxa"/>
            <w:gridSpan w:val="5"/>
            <w:vAlign w:val="center"/>
          </w:tcPr>
          <w:p>
            <w:pPr>
              <w:widowControl/>
              <w:jc w:val="right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blHeader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年度预算数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内容描述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绩效目标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绩效指标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优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良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560" w:hRule="exac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支持新型工业化发展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1810.00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制定工业和信息化发展战略、规划。组织全市工业技术改造工作，推进企业技术创新体系建设。组织协调推进企业兼并重组、淘汰落后产能和化解过剩产能、工业节能与资源综合利用工作，组织实施重大专项，推进产业结构战略性调整和优化升级，加快现代产业体系建设。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加大我市工业转型升级步伐，提升工业发展的质量和效益。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通过省、市级评审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奖励企业户数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获得资金奖励企业个数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85%以上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10万元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被奖励单位满意度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100万元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奖励总数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晚于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20万元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多于或省于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00" w:hRule="exac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促进中小企业和民营经济发展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加强对中小微企业和民营经济的宏观指导、综合协调，优化发展环境，激活市场主体，破解要素制约，强化公共服务，加强督导、检查和考核，提高民营经济和中小微企业发展质量和水平。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推动中小微企业和民营经济持续、健康发展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0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引导中小、民营企业机制创新和市场开拓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组织和指导中小企业市场开拓，开展对外经济交流与合作；积极扶持引导中小企业走“专精特新”之路，不断提升技术水平和质量效益；促进中小企业信息化应用，推动中小企业信息化工程建设。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培训企业经营管理人员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1000人次以上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1000人次以上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800-999人次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601-799人次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600人次以下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0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0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参加素质提升活动满意度调查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60%以下</w:t>
            </w:r>
          </w:p>
        </w:tc>
      </w:tr>
    </w:tbl>
    <w:p>
      <w:pPr>
        <w:wordWrap/>
        <w:snapToGrid/>
        <w:spacing w:line="600" w:lineRule="exact"/>
        <w:ind w:right="0"/>
        <w:textAlignment w:val="auto"/>
        <w:outlineLvl w:val="0"/>
        <w:rPr>
          <w:rFonts w:ascii="方正小标宋_GBK" w:eastAsia="方正小标宋_GBK"/>
          <w:sz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六、政府采购预算情况</w:t>
      </w:r>
      <w:bookmarkStart w:id="3" w:name="_Toc471398468"/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24"/>
        </w:rPr>
        <w:t>201</w:t>
      </w:r>
      <w:r>
        <w:rPr>
          <w:rFonts w:hint="eastAsia" w:ascii="方正仿宋简体" w:hAnsi="方正仿宋简体" w:eastAsia="方正仿宋简体" w:cs="方正仿宋简体"/>
          <w:sz w:val="32"/>
          <w:szCs w:val="24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24"/>
        </w:rPr>
        <w:t>年，安排政府采购预算</w:t>
      </w:r>
      <w:r>
        <w:rPr>
          <w:rFonts w:hint="eastAsia" w:ascii="方正仿宋简体" w:hAnsi="方正仿宋简体" w:eastAsia="方正仿宋简体" w:cs="方正仿宋简体"/>
          <w:sz w:val="32"/>
          <w:szCs w:val="24"/>
          <w:lang w:val="en-US" w:eastAsia="zh-CN"/>
        </w:rPr>
        <w:t>8.81</w:t>
      </w:r>
      <w:r>
        <w:rPr>
          <w:rFonts w:hint="eastAsia" w:ascii="方正仿宋简体" w:hAnsi="方正仿宋简体" w:eastAsia="方正仿宋简体" w:cs="方正仿宋简体"/>
          <w:sz w:val="32"/>
          <w:szCs w:val="24"/>
        </w:rPr>
        <w:t>万元。具体内容见下表。</w:t>
      </w: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24"/>
        </w:rPr>
        <w:t>部门政府采购预算</w:t>
      </w:r>
      <w:bookmarkEnd w:id="3"/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ascii="方正小标宋_GBK" w:hAnsi="Times New Roman" w:eastAsia="方正小标宋_GBK" w:cs="Times New Roman"/>
          <w:sz w:val="32"/>
          <w:szCs w:val="24"/>
        </w:rPr>
      </w:pPr>
    </w:p>
    <w:tbl>
      <w:tblPr>
        <w:tblW w:w="15222" w:type="dxa"/>
        <w:jc w:val="center"/>
        <w:tblInd w:w="-1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7"/>
        <w:gridCol w:w="992"/>
        <w:gridCol w:w="1701"/>
        <w:gridCol w:w="710"/>
        <w:gridCol w:w="1371"/>
        <w:gridCol w:w="1276"/>
        <w:gridCol w:w="850"/>
        <w:gridCol w:w="567"/>
        <w:gridCol w:w="709"/>
        <w:gridCol w:w="498"/>
        <w:gridCol w:w="980"/>
        <w:gridCol w:w="980"/>
        <w:gridCol w:w="980"/>
        <w:gridCol w:w="980"/>
        <w:gridCol w:w="981"/>
      </w:tblGrid>
      <w:tr>
        <w:trPr>
          <w:cantSplit/>
          <w:trHeight w:val="232" w:hRule="atLeast"/>
          <w:tblHeader/>
          <w:jc w:val="center"/>
        </w:trPr>
        <w:tc>
          <w:tcPr>
            <w:tcW w:w="1032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623唐山市工业和信息化局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政府采购金额</w:t>
            </w:r>
          </w:p>
        </w:tc>
      </w:tr>
      <w:tr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</w:tr>
      <w:tr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</w:tr>
      <w:tr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cantSplit/>
          <w:trHeight w:val="312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合计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8.81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8.81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购置空调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A02052309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专用制冷、空调设备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购置计算机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购置多功能一体机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A020204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多功能一体机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兄弟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购置打印机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A0201060101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喷墨打印机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惠普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七、国有资产信息</w:t>
      </w:r>
    </w:p>
    <w:p>
      <w:pPr>
        <w:wordWrap/>
        <w:snapToGrid/>
        <w:spacing w:line="600" w:lineRule="exact"/>
        <w:ind w:right="0" w:firstLine="64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年末固定资产金额为6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万元（详见下表），本年度各单位拟购置固定资产主要为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空调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计算机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多功能一体机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打印机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万元，均是20万元以下的设备。本年预算拟购置的固定资产为其他固定资产，共计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万元,已列入政府采购预算表。</w:t>
      </w:r>
    </w:p>
    <w:tbl>
      <w:tblPr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rPr>
          <w:jc w:val="center"/>
        </w:trPr>
        <w:tc>
          <w:tcPr>
            <w:tcW w:w="14174" w:type="dxa"/>
            <w:gridSpan w:val="3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固定资产占用情况表</w:t>
            </w:r>
          </w:p>
        </w:tc>
      </w:tr>
      <w:tr>
        <w:trPr>
          <w:jc w:val="center"/>
        </w:trPr>
        <w:tc>
          <w:tcPr>
            <w:tcW w:w="14174" w:type="dxa"/>
            <w:gridSpan w:val="3"/>
            <w:vAlign w:val="top"/>
          </w:tcPr>
          <w:p>
            <w:pPr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截止时间：201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年12月31日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价值（金额单位：万元）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资产总额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608.09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1.房屋（平方米）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457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.49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11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4.21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2.车辆（台、辆）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149.49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3.单价在20万元以上设备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0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4.其他固定资产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344.39</w:t>
            </w:r>
          </w:p>
        </w:tc>
      </w:tr>
    </w:tbl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八、名词解释</w:t>
      </w:r>
    </w:p>
    <w:p>
      <w:pPr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部门职责：是指本部门“三定”方案规定的部门职责情况。</w:t>
      </w:r>
    </w:p>
    <w:p>
      <w:pPr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机构设置：是指本部门“三定”方案规定的机构设置情况。</w:t>
      </w:r>
    </w:p>
    <w:p>
      <w:pPr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机关运行费：是指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部门的公用经费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印刷费，邮电费、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差旅费、会议费、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福利费、日常维修费、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专用材料及一般设备购置费、办公用房水电费、办公用房取暖费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办公用房物业管理费、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及其他费用安排情况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九、其他需要说明的事项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6838" w:h="11906" w:orient="landscape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2"/>
      <w:numFmt w:val="chineseCounting"/>
      <w:suff w:val="nothing"/>
      <w:lvlText w:val="（%1）"/>
      <w:lvlJc w:val="left"/>
    </w:lvl>
  </w:abstractNum>
  <w:abstractNum w:abstractNumId="3">
    <w:nsid w:val="00000003"/>
    <w:multiLevelType w:val="singleLevel"/>
    <w:tmpl w:val="0000000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paragraph" w:styleId="7">
    <w:name w:val="toc 1"/>
    <w:basedOn w:val="1"/>
    <w:next w:val="1"/>
    <w:rPr>
      <w:rFonts w:ascii="Times New Roman" w:hAnsi="Times New Roman" w:cs="Times New Roman"/>
      <w:szCs w:val="24"/>
    </w:rPr>
  </w:style>
  <w:style w:type="paragraph" w:styleId="8">
    <w:name w:val="toc 2"/>
    <w:basedOn w:val="1"/>
    <w:next w:val="1"/>
    <w:pPr>
      <w:ind w:left="420" w:leftChars="200"/>
    </w:pPr>
    <w:rPr>
      <w:rFonts w:ascii="Times New Roman" w:hAnsi="Times New Roman" w:cs="Times New Roman"/>
      <w:szCs w:val="24"/>
    </w:rPr>
  </w:style>
  <w:style w:type="paragraph" w:styleId="9">
    <w:name w:val="Title"/>
    <w:basedOn w:val="1"/>
    <w:next w:val="1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877</Words>
  <Characters>4999</Characters>
  <Lines>41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2017-01-23T01:29:00Z</dcterms:created>
  <dc:creator>guest</dc:creator>
  <cp:lastPrinted>2017-04-28T22:27:00Z</cp:lastPrinted>
  <dcterms:modified xsi:type="dcterms:W3CDTF">2019-01-30T13:58:54Z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