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华文中宋" w:hAnsi="华文中宋" w:eastAsia="华文中宋"/>
          <w:sz w:val="44"/>
          <w:szCs w:val="44"/>
        </w:rPr>
      </w:pPr>
      <w:r>
        <w:rPr>
          <w:rFonts w:hint="eastAsia" w:ascii="华文中宋" w:hAnsi="华文中宋" w:eastAsia="华文中宋"/>
          <w:sz w:val="44"/>
          <w:szCs w:val="44"/>
        </w:rPr>
        <w:t>唐山市供销合作总社</w:t>
      </w:r>
    </w:p>
    <w:p>
      <w:pPr>
        <w:spacing w:line="560" w:lineRule="exact"/>
        <w:jc w:val="center"/>
        <w:rPr>
          <w:rFonts w:ascii="华文中宋" w:hAnsi="华文中宋" w:eastAsia="华文中宋"/>
          <w:sz w:val="44"/>
          <w:szCs w:val="44"/>
        </w:rPr>
      </w:pPr>
      <w:r>
        <w:rPr>
          <w:rFonts w:hint="eastAsia" w:ascii="华文中宋" w:hAnsi="华文中宋" w:eastAsia="华文中宋"/>
          <w:sz w:val="44"/>
          <w:szCs w:val="44"/>
        </w:rPr>
        <w:t>2017年度部门概况及决算说明</w:t>
      </w:r>
    </w:p>
    <w:p>
      <w:pPr>
        <w:spacing w:line="560" w:lineRule="exact"/>
        <w:jc w:val="center"/>
        <w:rPr>
          <w:rFonts w:ascii="黑体" w:eastAsia="黑体"/>
          <w:b/>
          <w:sz w:val="24"/>
        </w:rPr>
      </w:pPr>
    </w:p>
    <w:p>
      <w:pPr>
        <w:spacing w:line="560" w:lineRule="exact"/>
        <w:ind w:firstLine="640" w:firstLineChars="200"/>
        <w:rPr>
          <w:rFonts w:ascii="宋体" w:hAnsi="宋体"/>
          <w:sz w:val="32"/>
          <w:szCs w:val="32"/>
        </w:rPr>
      </w:pPr>
      <w:r>
        <w:rPr>
          <w:rFonts w:hint="eastAsia" w:ascii="宋体" w:hAnsi="宋体"/>
          <w:sz w:val="32"/>
          <w:szCs w:val="32"/>
        </w:rPr>
        <w:t>一、部门职责</w:t>
      </w:r>
    </w:p>
    <w:p>
      <w:pPr>
        <w:spacing w:line="360" w:lineRule="auto"/>
        <w:ind w:firstLine="600" w:firstLineChars="200"/>
        <w:rPr>
          <w:rFonts w:ascii="仿宋" w:hAnsi="仿宋" w:eastAsia="仿宋"/>
          <w:bCs/>
          <w:sz w:val="30"/>
          <w:szCs w:val="30"/>
        </w:rPr>
      </w:pPr>
      <w:r>
        <w:rPr>
          <w:rFonts w:hint="eastAsia" w:ascii="仿宋" w:hAnsi="仿宋" w:eastAsia="仿宋"/>
          <w:bCs/>
          <w:sz w:val="30"/>
          <w:szCs w:val="30"/>
        </w:rPr>
        <w:t>新型供销合作社在承担原有供销合作社职能的基础上，履行公益性和经营性职能。</w:t>
      </w:r>
    </w:p>
    <w:p>
      <w:pPr>
        <w:spacing w:line="360" w:lineRule="auto"/>
        <w:ind w:firstLine="600" w:firstLineChars="200"/>
        <w:rPr>
          <w:rFonts w:ascii="仿宋" w:hAnsi="仿宋" w:eastAsia="仿宋"/>
          <w:bCs/>
          <w:sz w:val="30"/>
          <w:szCs w:val="30"/>
        </w:rPr>
      </w:pPr>
      <w:r>
        <w:rPr>
          <w:rFonts w:hint="eastAsia" w:ascii="仿宋" w:hAnsi="仿宋" w:eastAsia="仿宋"/>
          <w:bCs/>
          <w:sz w:val="30"/>
          <w:szCs w:val="30"/>
        </w:rPr>
        <w:t>1、负责制定并组织实施供销合作社、农民合作组织及相关行业协会发展规划；领办创办农民合作组织和相关行业协会，给予指导、扶持和服务，做好相关政策的执行和财政支持资金的落实、管理和使用；</w:t>
      </w:r>
    </w:p>
    <w:p>
      <w:pPr>
        <w:spacing w:line="360" w:lineRule="auto"/>
        <w:ind w:firstLine="600" w:firstLineChars="200"/>
        <w:rPr>
          <w:rFonts w:ascii="仿宋" w:hAnsi="仿宋" w:eastAsia="仿宋"/>
          <w:bCs/>
          <w:sz w:val="30"/>
          <w:szCs w:val="30"/>
        </w:rPr>
      </w:pPr>
      <w:r>
        <w:rPr>
          <w:rFonts w:hint="eastAsia" w:ascii="仿宋" w:hAnsi="仿宋" w:eastAsia="仿宋"/>
          <w:bCs/>
          <w:sz w:val="30"/>
          <w:szCs w:val="30"/>
        </w:rPr>
        <w:t>2、做好供销合作社合作发展基金的规划、设立、管理和使用；承担相关涉农政策和项目，承担公益性服务，承担政府向社会购买的公共服务；</w:t>
      </w:r>
    </w:p>
    <w:p>
      <w:pPr>
        <w:spacing w:line="360" w:lineRule="auto"/>
        <w:ind w:firstLine="600" w:firstLineChars="200"/>
        <w:rPr>
          <w:rFonts w:ascii="仿宋" w:hAnsi="仿宋" w:eastAsia="仿宋"/>
          <w:bCs/>
          <w:sz w:val="30"/>
          <w:szCs w:val="30"/>
        </w:rPr>
      </w:pPr>
      <w:r>
        <w:rPr>
          <w:rFonts w:hint="eastAsia" w:ascii="仿宋" w:hAnsi="仿宋" w:eastAsia="仿宋"/>
          <w:bCs/>
          <w:sz w:val="30"/>
          <w:szCs w:val="30"/>
        </w:rPr>
        <w:t>3、在新的法律法规和相关政策公布之前，做好流通领域食盐行政管理和专营，做好烟花爆竹批发、零售网络经营的监督管理；承担盐业、棉花、化肥、农药、抗灾应急物资等国家储备任务，参与大宗农产品政策性收储；</w:t>
      </w:r>
    </w:p>
    <w:p>
      <w:pPr>
        <w:spacing w:line="360" w:lineRule="auto"/>
        <w:ind w:firstLine="600" w:firstLineChars="200"/>
        <w:rPr>
          <w:rFonts w:ascii="仿宋" w:hAnsi="仿宋" w:eastAsia="仿宋"/>
          <w:bCs/>
          <w:sz w:val="30"/>
          <w:szCs w:val="30"/>
        </w:rPr>
      </w:pPr>
      <w:r>
        <w:rPr>
          <w:rFonts w:hint="eastAsia" w:ascii="仿宋" w:hAnsi="仿宋" w:eastAsia="仿宋"/>
          <w:bCs/>
          <w:sz w:val="30"/>
          <w:szCs w:val="30"/>
        </w:rPr>
        <w:t>4、按照政府及相关部门授权或委托，做好再生资源回收利用的管理；会同有关部门制定并组织实施农产品批发市场、再生资源回收市场的发展规划，做好公益性市场建设、运营、管护；</w:t>
      </w:r>
    </w:p>
    <w:p>
      <w:pPr>
        <w:spacing w:line="360" w:lineRule="auto"/>
        <w:ind w:firstLine="600" w:firstLineChars="200"/>
        <w:rPr>
          <w:rFonts w:ascii="仿宋" w:hAnsi="仿宋" w:eastAsia="仿宋"/>
          <w:bCs/>
          <w:sz w:val="30"/>
          <w:szCs w:val="30"/>
        </w:rPr>
      </w:pPr>
      <w:r>
        <w:rPr>
          <w:rFonts w:hint="eastAsia" w:ascii="仿宋" w:hAnsi="仿宋" w:eastAsia="仿宋"/>
          <w:bCs/>
          <w:sz w:val="30"/>
          <w:szCs w:val="30"/>
        </w:rPr>
        <w:t>5、做好社有资产、企业的运营管理，对出资企业行使出资人职能，做好系统财产安全统筹管理；</w:t>
      </w:r>
    </w:p>
    <w:p>
      <w:pPr>
        <w:spacing w:line="360" w:lineRule="auto"/>
        <w:ind w:firstLine="600" w:firstLineChars="200"/>
        <w:rPr>
          <w:rFonts w:ascii="仿宋" w:hAnsi="仿宋" w:eastAsia="仿宋"/>
          <w:bCs/>
          <w:sz w:val="30"/>
          <w:szCs w:val="30"/>
        </w:rPr>
      </w:pPr>
      <w:r>
        <w:rPr>
          <w:rFonts w:hint="eastAsia" w:ascii="仿宋" w:hAnsi="仿宋" w:eastAsia="仿宋"/>
          <w:bCs/>
          <w:sz w:val="30"/>
          <w:szCs w:val="30"/>
        </w:rPr>
        <w:t>6、发展农业生产资料、农副产品、日用消费品、再生资源回收利用等经营服务网络体系；</w:t>
      </w:r>
    </w:p>
    <w:p>
      <w:pPr>
        <w:spacing w:line="360" w:lineRule="auto"/>
        <w:ind w:firstLine="600" w:firstLineChars="200"/>
        <w:rPr>
          <w:rFonts w:ascii="仿宋" w:hAnsi="仿宋" w:eastAsia="仿宋"/>
          <w:bCs/>
          <w:sz w:val="30"/>
          <w:szCs w:val="30"/>
        </w:rPr>
      </w:pPr>
      <w:r>
        <w:rPr>
          <w:rFonts w:hint="eastAsia" w:ascii="仿宋" w:hAnsi="仿宋" w:eastAsia="仿宋"/>
          <w:bCs/>
          <w:sz w:val="30"/>
          <w:szCs w:val="30"/>
        </w:rPr>
        <w:t>7、发展为各类农业经营主体和广大农民群众生产生活提供全方位、全过程、系列化、社会化服务的综合服务平台；</w:t>
      </w:r>
    </w:p>
    <w:p>
      <w:pPr>
        <w:spacing w:line="360" w:lineRule="auto"/>
        <w:ind w:firstLine="600" w:firstLineChars="200"/>
        <w:rPr>
          <w:rFonts w:ascii="仿宋" w:hAnsi="仿宋" w:eastAsia="仿宋"/>
          <w:bCs/>
          <w:sz w:val="30"/>
          <w:szCs w:val="30"/>
        </w:rPr>
      </w:pPr>
      <w:r>
        <w:rPr>
          <w:rFonts w:hint="eastAsia" w:ascii="仿宋" w:hAnsi="仿宋" w:eastAsia="仿宋"/>
          <w:bCs/>
          <w:sz w:val="30"/>
          <w:szCs w:val="30"/>
        </w:rPr>
        <w:t>8、开展农民职业技能培训和农村劳动力转移职业介绍服务；</w:t>
      </w:r>
    </w:p>
    <w:p>
      <w:pPr>
        <w:spacing w:line="360" w:lineRule="auto"/>
        <w:ind w:firstLine="600" w:firstLineChars="200"/>
        <w:rPr>
          <w:rFonts w:ascii="仿宋" w:hAnsi="仿宋" w:eastAsia="仿宋"/>
          <w:bCs/>
          <w:sz w:val="30"/>
          <w:szCs w:val="30"/>
        </w:rPr>
      </w:pPr>
      <w:r>
        <w:rPr>
          <w:rFonts w:hint="eastAsia" w:ascii="仿宋" w:hAnsi="仿宋" w:eastAsia="仿宋"/>
          <w:bCs/>
          <w:sz w:val="30"/>
          <w:szCs w:val="30"/>
        </w:rPr>
        <w:t>9、开展农村产权交易、中小型银行、小额贷款、融资租赁、融资担保、资金互助、合作保险等服务；</w:t>
      </w:r>
    </w:p>
    <w:p>
      <w:pPr>
        <w:spacing w:line="360" w:lineRule="auto"/>
        <w:ind w:firstLine="600" w:firstLineChars="200"/>
        <w:rPr>
          <w:rFonts w:ascii="仿宋" w:hAnsi="仿宋" w:eastAsia="仿宋"/>
          <w:bCs/>
          <w:sz w:val="30"/>
          <w:szCs w:val="30"/>
        </w:rPr>
      </w:pPr>
      <w:r>
        <w:rPr>
          <w:rFonts w:hint="eastAsia" w:ascii="仿宋" w:hAnsi="仿宋" w:eastAsia="仿宋"/>
          <w:bCs/>
          <w:sz w:val="30"/>
          <w:szCs w:val="30"/>
        </w:rPr>
        <w:t>10、承担政府赋予的其他职能和工作任务。</w:t>
      </w:r>
    </w:p>
    <w:p>
      <w:pPr>
        <w:spacing w:line="560" w:lineRule="exact"/>
        <w:ind w:left="640"/>
        <w:rPr>
          <w:rFonts w:hint="eastAsia" w:ascii="宋体" w:hAnsi="宋体" w:eastAsia="宋体"/>
          <w:sz w:val="32"/>
          <w:szCs w:val="32"/>
          <w:lang w:eastAsia="zh-CN"/>
        </w:rPr>
      </w:pPr>
      <w:r>
        <w:rPr>
          <w:rFonts w:hint="eastAsia" w:ascii="宋体" w:hAnsi="宋体" w:cs="黑体"/>
          <w:color w:val="000000"/>
          <w:sz w:val="32"/>
          <w:szCs w:val="32"/>
        </w:rPr>
        <w:t>二、决算基本情况</w:t>
      </w:r>
      <w:r>
        <w:rPr>
          <w:rFonts w:hint="eastAsia" w:ascii="宋体" w:hAnsi="宋体" w:cs="黑体"/>
          <w:color w:val="000000"/>
          <w:sz w:val="32"/>
          <w:szCs w:val="32"/>
          <w:lang w:eastAsia="zh-CN"/>
        </w:rPr>
        <w:t>及决算与预算比较结果</w:t>
      </w:r>
    </w:p>
    <w:p>
      <w:pPr>
        <w:spacing w:line="560" w:lineRule="exact"/>
        <w:ind w:firstLine="600" w:firstLineChars="200"/>
        <w:rPr>
          <w:rFonts w:hint="eastAsia" w:ascii="仿宋" w:hAnsi="仿宋" w:eastAsia="仿宋" w:cs="仿宋"/>
          <w:color w:val="000000"/>
          <w:sz w:val="30"/>
          <w:szCs w:val="30"/>
        </w:rPr>
      </w:pPr>
      <w:r>
        <w:rPr>
          <w:rFonts w:hint="eastAsia" w:ascii="仿宋" w:hAnsi="仿宋" w:eastAsia="仿宋"/>
          <w:color w:val="000000"/>
          <w:sz w:val="30"/>
          <w:szCs w:val="30"/>
          <w:lang w:val="en-US" w:eastAsia="zh-CN"/>
        </w:rPr>
        <w:t>1、</w:t>
      </w:r>
      <w:r>
        <w:rPr>
          <w:rFonts w:hint="eastAsia" w:ascii="仿宋" w:hAnsi="仿宋" w:eastAsia="仿宋"/>
          <w:color w:val="000000"/>
          <w:sz w:val="30"/>
          <w:szCs w:val="30"/>
        </w:rPr>
        <w:t>2017</w:t>
      </w:r>
      <w:r>
        <w:rPr>
          <w:rFonts w:hint="eastAsia" w:ascii="仿宋" w:hAnsi="仿宋" w:eastAsia="仿宋" w:cs="仿宋"/>
          <w:color w:val="000000"/>
          <w:sz w:val="30"/>
          <w:szCs w:val="30"/>
        </w:rPr>
        <w:t>年度，纳入本部门决算汇编范围的独立核算单位共</w:t>
      </w:r>
      <w:r>
        <w:rPr>
          <w:rFonts w:hint="eastAsia" w:ascii="仿宋" w:hAnsi="仿宋" w:eastAsia="仿宋"/>
          <w:color w:val="000000"/>
          <w:sz w:val="30"/>
          <w:szCs w:val="30"/>
        </w:rPr>
        <w:t>1</w:t>
      </w:r>
      <w:r>
        <w:rPr>
          <w:rFonts w:hint="eastAsia" w:ascii="仿宋" w:hAnsi="仿宋" w:eastAsia="仿宋" w:cs="仿宋"/>
          <w:color w:val="000000"/>
          <w:sz w:val="30"/>
          <w:szCs w:val="30"/>
        </w:rPr>
        <w:t>个，为唐山市供销合作总社。</w:t>
      </w:r>
    </w:p>
    <w:p>
      <w:pPr>
        <w:numPr>
          <w:ilvl w:val="0"/>
          <w:numId w:val="1"/>
        </w:numPr>
        <w:spacing w:line="560" w:lineRule="exact"/>
        <w:ind w:firstLine="600" w:firstLineChars="2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本年预算数为687.24万元，决算数比预算数增加200.04，主要原因为人员工资保险增加。</w:t>
      </w:r>
    </w:p>
    <w:p>
      <w:pPr>
        <w:numPr>
          <w:ilvl w:val="0"/>
          <w:numId w:val="1"/>
        </w:numPr>
        <w:spacing w:line="560" w:lineRule="exact"/>
        <w:ind w:firstLine="600" w:firstLineChars="200"/>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2017年唐山市供销合作总社固定资产共2221147.85元，比年初增加29000元。由于本单位资产属于集体所有制，不属于国有资产。</w:t>
      </w:r>
    </w:p>
    <w:p>
      <w:pPr>
        <w:autoSpaceDE w:val="0"/>
        <w:autoSpaceDN w:val="0"/>
        <w:adjustRightInd w:val="0"/>
        <w:ind w:firstLine="640" w:firstLineChars="200"/>
        <w:jc w:val="left"/>
        <w:rPr>
          <w:rFonts w:ascii="方正仿宋_GBK" w:eastAsia="方正仿宋_GBK"/>
          <w:b/>
          <w:sz w:val="32"/>
          <w:szCs w:val="32"/>
        </w:rPr>
      </w:pPr>
      <w:r>
        <w:rPr>
          <w:rFonts w:hint="eastAsia" w:ascii="方正仿宋_GBK" w:eastAsia="方正仿宋_GBK"/>
          <w:b/>
          <w:sz w:val="32"/>
          <w:szCs w:val="32"/>
        </w:rPr>
        <w:t>机构设置：</w:t>
      </w:r>
      <w:bookmarkStart w:id="0" w:name="_GoBack"/>
      <w:bookmarkEnd w:id="0"/>
    </w:p>
    <w:p>
      <w:pPr>
        <w:jc w:val="center"/>
        <w:outlineLvl w:val="0"/>
        <w:rPr>
          <w:rFonts w:eastAsia="方正小标宋_GBK"/>
          <w:sz w:val="32"/>
        </w:rPr>
      </w:pPr>
      <w:r>
        <w:rPr>
          <w:rFonts w:hint="eastAsia" w:eastAsia="方正小标宋_GBK"/>
          <w:sz w:val="32"/>
        </w:rPr>
        <w:t>部门机构设置情况</w:t>
      </w:r>
    </w:p>
    <w:tbl>
      <w:tblPr>
        <w:tblStyle w:val="7"/>
        <w:tblW w:w="9729" w:type="dxa"/>
        <w:jc w:val="center"/>
        <w:tblInd w:w="-59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417"/>
        <w:gridCol w:w="1134"/>
        <w:gridCol w:w="1276"/>
        <w:gridCol w:w="29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00" w:hRule="atLeast"/>
          <w:tblHeader/>
          <w:jc w:val="center"/>
        </w:trPr>
        <w:tc>
          <w:tcPr>
            <w:tcW w:w="4417" w:type="dxa"/>
            <w:vMerge w:val="restart"/>
            <w:vAlign w:val="center"/>
          </w:tcPr>
          <w:p>
            <w:pPr>
              <w:spacing w:line="300" w:lineRule="exact"/>
              <w:jc w:val="center"/>
              <w:rPr>
                <w:rFonts w:eastAsia="方正书宋_GBK"/>
                <w:b/>
              </w:rPr>
            </w:pPr>
            <w:r>
              <w:rPr>
                <w:rFonts w:hint="eastAsia" w:eastAsia="方正书宋_GBK"/>
                <w:b/>
              </w:rPr>
              <w:t>单位名称</w:t>
            </w:r>
          </w:p>
        </w:tc>
        <w:tc>
          <w:tcPr>
            <w:tcW w:w="1134" w:type="dxa"/>
            <w:vMerge w:val="restart"/>
            <w:vAlign w:val="center"/>
          </w:tcPr>
          <w:p>
            <w:pPr>
              <w:spacing w:line="300" w:lineRule="exact"/>
              <w:jc w:val="center"/>
              <w:rPr>
                <w:rFonts w:eastAsia="方正书宋_GBK"/>
                <w:b/>
              </w:rPr>
            </w:pPr>
            <w:r>
              <w:rPr>
                <w:rFonts w:hint="eastAsia" w:eastAsia="方正书宋_GBK"/>
                <w:b/>
              </w:rPr>
              <w:t>单位性质</w:t>
            </w:r>
          </w:p>
        </w:tc>
        <w:tc>
          <w:tcPr>
            <w:tcW w:w="1276" w:type="dxa"/>
            <w:vMerge w:val="restart"/>
            <w:vAlign w:val="center"/>
          </w:tcPr>
          <w:p>
            <w:pPr>
              <w:spacing w:line="300" w:lineRule="exact"/>
              <w:jc w:val="center"/>
              <w:rPr>
                <w:rFonts w:eastAsia="方正书宋_GBK"/>
                <w:b/>
              </w:rPr>
            </w:pPr>
            <w:r>
              <w:rPr>
                <w:rFonts w:hint="eastAsia" w:eastAsia="方正书宋_GBK"/>
                <w:b/>
              </w:rPr>
              <w:t>单位规格</w:t>
            </w:r>
          </w:p>
        </w:tc>
        <w:tc>
          <w:tcPr>
            <w:tcW w:w="2902" w:type="dxa"/>
            <w:vMerge w:val="restart"/>
            <w:vAlign w:val="center"/>
          </w:tcPr>
          <w:p>
            <w:pPr>
              <w:spacing w:line="300" w:lineRule="exact"/>
              <w:jc w:val="center"/>
              <w:rPr>
                <w:rFonts w:eastAsia="方正书宋_GBK"/>
                <w:b/>
              </w:rPr>
            </w:pPr>
            <w:r>
              <w:rPr>
                <w:rFonts w:hint="eastAsia" w:eastAsia="方正书宋_GBK"/>
                <w:b/>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00" w:hRule="atLeast"/>
          <w:tblHeader/>
          <w:jc w:val="center"/>
        </w:trPr>
        <w:tc>
          <w:tcPr>
            <w:tcW w:w="4417" w:type="dxa"/>
            <w:vMerge w:val="continue"/>
            <w:vAlign w:val="center"/>
          </w:tcPr>
          <w:p>
            <w:pPr>
              <w:spacing w:line="300" w:lineRule="exact"/>
              <w:jc w:val="left"/>
              <w:outlineLvl w:val="0"/>
            </w:pPr>
          </w:p>
        </w:tc>
        <w:tc>
          <w:tcPr>
            <w:tcW w:w="1134" w:type="dxa"/>
            <w:vMerge w:val="continue"/>
            <w:vAlign w:val="center"/>
          </w:tcPr>
          <w:p>
            <w:pPr>
              <w:spacing w:line="300" w:lineRule="exact"/>
              <w:jc w:val="left"/>
              <w:outlineLvl w:val="0"/>
            </w:pPr>
          </w:p>
        </w:tc>
        <w:tc>
          <w:tcPr>
            <w:tcW w:w="1276" w:type="dxa"/>
            <w:vMerge w:val="continue"/>
            <w:vAlign w:val="center"/>
          </w:tcPr>
          <w:p>
            <w:pPr>
              <w:spacing w:line="300" w:lineRule="exact"/>
              <w:jc w:val="left"/>
              <w:outlineLvl w:val="0"/>
            </w:pPr>
          </w:p>
        </w:tc>
        <w:tc>
          <w:tcPr>
            <w:tcW w:w="2902" w:type="dxa"/>
            <w:vMerge w:val="continue"/>
            <w:vAlign w:val="center"/>
          </w:tcPr>
          <w:p>
            <w:pPr>
              <w:spacing w:line="300" w:lineRule="exact"/>
              <w:jc w:val="left"/>
              <w:outlineLvl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4417" w:type="dxa"/>
            <w:vAlign w:val="center"/>
          </w:tcPr>
          <w:p>
            <w:pPr>
              <w:spacing w:line="300" w:lineRule="exact"/>
              <w:jc w:val="left"/>
              <w:rPr>
                <w:rFonts w:eastAsia="方正书宋_GBK"/>
              </w:rPr>
            </w:pPr>
            <w:r>
              <w:rPr>
                <w:rFonts w:hint="eastAsia" w:ascii="方正书宋_GBK" w:eastAsia="方正书宋_GBK"/>
              </w:rPr>
              <w:t>唐山市供销合作总社</w:t>
            </w:r>
          </w:p>
        </w:tc>
        <w:tc>
          <w:tcPr>
            <w:tcW w:w="1134" w:type="dxa"/>
            <w:vAlign w:val="center"/>
          </w:tcPr>
          <w:p>
            <w:pPr>
              <w:spacing w:line="300" w:lineRule="exact"/>
              <w:jc w:val="center"/>
              <w:rPr>
                <w:rFonts w:eastAsia="方正书宋_GBK"/>
              </w:rPr>
            </w:pPr>
            <w:r>
              <w:rPr>
                <w:rFonts w:hint="eastAsia" w:ascii="方正书宋_GBK" w:eastAsia="方正书宋_GBK"/>
              </w:rPr>
              <w:t>参公</w:t>
            </w:r>
          </w:p>
        </w:tc>
        <w:tc>
          <w:tcPr>
            <w:tcW w:w="1276" w:type="dxa"/>
            <w:vAlign w:val="center"/>
          </w:tcPr>
          <w:p>
            <w:pPr>
              <w:spacing w:line="300" w:lineRule="exact"/>
              <w:jc w:val="center"/>
              <w:rPr>
                <w:rFonts w:eastAsia="方正书宋_GBK"/>
              </w:rPr>
            </w:pPr>
            <w:r>
              <w:rPr>
                <w:rFonts w:hint="eastAsia" w:ascii="方正书宋_GBK" w:eastAsia="方正书宋_GBK"/>
              </w:rPr>
              <w:t>正处级</w:t>
            </w:r>
          </w:p>
        </w:tc>
        <w:tc>
          <w:tcPr>
            <w:tcW w:w="2902" w:type="dxa"/>
            <w:vAlign w:val="center"/>
          </w:tcPr>
          <w:p>
            <w:pPr>
              <w:spacing w:line="300" w:lineRule="exact"/>
              <w:jc w:val="center"/>
              <w:rPr>
                <w:rFonts w:eastAsia="方正书宋_GBK"/>
              </w:rPr>
            </w:pPr>
            <w:r>
              <w:rPr>
                <w:rFonts w:hint="eastAsia" w:ascii="方正书宋_GBK" w:eastAsia="方正书宋_GBK"/>
              </w:rP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4417" w:type="dxa"/>
            <w:vAlign w:val="center"/>
          </w:tcPr>
          <w:p>
            <w:pPr>
              <w:spacing w:line="300" w:lineRule="exact"/>
              <w:jc w:val="left"/>
              <w:rPr>
                <w:rFonts w:eastAsia="方正书宋_GBK"/>
              </w:rPr>
            </w:pPr>
          </w:p>
        </w:tc>
        <w:tc>
          <w:tcPr>
            <w:tcW w:w="1134" w:type="dxa"/>
            <w:vAlign w:val="center"/>
          </w:tcPr>
          <w:p>
            <w:pPr>
              <w:spacing w:line="300" w:lineRule="exact"/>
              <w:jc w:val="left"/>
              <w:rPr>
                <w:rFonts w:eastAsia="方正书宋_GBK"/>
              </w:rPr>
            </w:pPr>
          </w:p>
        </w:tc>
        <w:tc>
          <w:tcPr>
            <w:tcW w:w="1276" w:type="dxa"/>
            <w:vAlign w:val="center"/>
          </w:tcPr>
          <w:p>
            <w:pPr>
              <w:spacing w:line="300" w:lineRule="exact"/>
              <w:jc w:val="left"/>
              <w:rPr>
                <w:rFonts w:eastAsia="方正书宋_GBK"/>
              </w:rPr>
            </w:pPr>
          </w:p>
        </w:tc>
        <w:tc>
          <w:tcPr>
            <w:tcW w:w="2902" w:type="dxa"/>
            <w:vAlign w:val="center"/>
          </w:tcPr>
          <w:p>
            <w:pPr>
              <w:spacing w:line="300" w:lineRule="exact"/>
              <w:jc w:val="left"/>
              <w:rPr>
                <w:rFonts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4417" w:type="dxa"/>
            <w:vAlign w:val="center"/>
          </w:tcPr>
          <w:p>
            <w:pPr>
              <w:spacing w:line="300" w:lineRule="exact"/>
              <w:jc w:val="left"/>
              <w:rPr>
                <w:rFonts w:eastAsia="方正书宋_GBK"/>
              </w:rPr>
            </w:pPr>
          </w:p>
        </w:tc>
        <w:tc>
          <w:tcPr>
            <w:tcW w:w="1134" w:type="dxa"/>
            <w:vAlign w:val="center"/>
          </w:tcPr>
          <w:p>
            <w:pPr>
              <w:spacing w:line="300" w:lineRule="exact"/>
              <w:jc w:val="left"/>
              <w:rPr>
                <w:rFonts w:eastAsia="方正书宋_GBK"/>
              </w:rPr>
            </w:pPr>
          </w:p>
        </w:tc>
        <w:tc>
          <w:tcPr>
            <w:tcW w:w="1276" w:type="dxa"/>
            <w:vAlign w:val="center"/>
          </w:tcPr>
          <w:p>
            <w:pPr>
              <w:spacing w:line="300" w:lineRule="exact"/>
              <w:jc w:val="left"/>
              <w:rPr>
                <w:rFonts w:eastAsia="方正书宋_GBK"/>
              </w:rPr>
            </w:pPr>
          </w:p>
        </w:tc>
        <w:tc>
          <w:tcPr>
            <w:tcW w:w="2902" w:type="dxa"/>
            <w:vAlign w:val="center"/>
          </w:tcPr>
          <w:p>
            <w:pPr>
              <w:spacing w:line="300" w:lineRule="exact"/>
              <w:jc w:val="left"/>
              <w:rPr>
                <w:rFonts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4417" w:type="dxa"/>
            <w:vAlign w:val="center"/>
          </w:tcPr>
          <w:p>
            <w:pPr>
              <w:spacing w:line="300" w:lineRule="exact"/>
              <w:jc w:val="left"/>
              <w:rPr>
                <w:rFonts w:eastAsia="方正书宋_GBK"/>
              </w:rPr>
            </w:pPr>
          </w:p>
        </w:tc>
        <w:tc>
          <w:tcPr>
            <w:tcW w:w="1134" w:type="dxa"/>
            <w:vAlign w:val="center"/>
          </w:tcPr>
          <w:p>
            <w:pPr>
              <w:spacing w:line="300" w:lineRule="exact"/>
              <w:jc w:val="center"/>
              <w:rPr>
                <w:rFonts w:eastAsia="方正书宋_GBK"/>
              </w:rPr>
            </w:pPr>
          </w:p>
        </w:tc>
        <w:tc>
          <w:tcPr>
            <w:tcW w:w="1276" w:type="dxa"/>
            <w:vAlign w:val="center"/>
          </w:tcPr>
          <w:p>
            <w:pPr>
              <w:spacing w:line="300" w:lineRule="exact"/>
              <w:jc w:val="center"/>
              <w:rPr>
                <w:rFonts w:eastAsia="方正书宋_GBK"/>
              </w:rPr>
            </w:pPr>
          </w:p>
        </w:tc>
        <w:tc>
          <w:tcPr>
            <w:tcW w:w="2902" w:type="dxa"/>
            <w:vAlign w:val="center"/>
          </w:tcPr>
          <w:p>
            <w:pPr>
              <w:spacing w:line="300" w:lineRule="exact"/>
              <w:jc w:val="center"/>
              <w:rPr>
                <w:rFonts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4417" w:type="dxa"/>
            <w:vAlign w:val="center"/>
          </w:tcPr>
          <w:p>
            <w:pPr>
              <w:spacing w:line="300" w:lineRule="exact"/>
              <w:jc w:val="left"/>
              <w:rPr>
                <w:rFonts w:eastAsia="方正书宋_GBK"/>
              </w:rPr>
            </w:pPr>
          </w:p>
        </w:tc>
        <w:tc>
          <w:tcPr>
            <w:tcW w:w="1134" w:type="dxa"/>
            <w:vAlign w:val="center"/>
          </w:tcPr>
          <w:p>
            <w:pPr>
              <w:spacing w:line="300" w:lineRule="exact"/>
              <w:jc w:val="left"/>
              <w:rPr>
                <w:rFonts w:eastAsia="方正书宋_GBK"/>
              </w:rPr>
            </w:pPr>
          </w:p>
        </w:tc>
        <w:tc>
          <w:tcPr>
            <w:tcW w:w="1276" w:type="dxa"/>
            <w:vAlign w:val="center"/>
          </w:tcPr>
          <w:p>
            <w:pPr>
              <w:spacing w:line="300" w:lineRule="exact"/>
              <w:jc w:val="left"/>
              <w:rPr>
                <w:rFonts w:eastAsia="方正书宋_GBK"/>
              </w:rPr>
            </w:pPr>
          </w:p>
        </w:tc>
        <w:tc>
          <w:tcPr>
            <w:tcW w:w="2902" w:type="dxa"/>
            <w:vAlign w:val="center"/>
          </w:tcPr>
          <w:p>
            <w:pPr>
              <w:spacing w:line="300" w:lineRule="exact"/>
              <w:jc w:val="left"/>
              <w:rPr>
                <w:rFonts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4417" w:type="dxa"/>
            <w:vAlign w:val="center"/>
          </w:tcPr>
          <w:p>
            <w:pPr>
              <w:spacing w:line="300" w:lineRule="exact"/>
              <w:jc w:val="left"/>
              <w:rPr>
                <w:rFonts w:eastAsia="方正书宋_GBK"/>
              </w:rPr>
            </w:pPr>
          </w:p>
        </w:tc>
        <w:tc>
          <w:tcPr>
            <w:tcW w:w="1134" w:type="dxa"/>
            <w:vAlign w:val="center"/>
          </w:tcPr>
          <w:p>
            <w:pPr>
              <w:spacing w:line="300" w:lineRule="exact"/>
              <w:jc w:val="left"/>
              <w:rPr>
                <w:rFonts w:eastAsia="方正书宋_GBK"/>
              </w:rPr>
            </w:pPr>
          </w:p>
        </w:tc>
        <w:tc>
          <w:tcPr>
            <w:tcW w:w="1276" w:type="dxa"/>
            <w:vAlign w:val="center"/>
          </w:tcPr>
          <w:p>
            <w:pPr>
              <w:spacing w:line="300" w:lineRule="exact"/>
              <w:jc w:val="left"/>
              <w:rPr>
                <w:rFonts w:eastAsia="方正书宋_GBK"/>
              </w:rPr>
            </w:pPr>
          </w:p>
        </w:tc>
        <w:tc>
          <w:tcPr>
            <w:tcW w:w="2902" w:type="dxa"/>
            <w:vAlign w:val="center"/>
          </w:tcPr>
          <w:p>
            <w:pPr>
              <w:spacing w:line="300" w:lineRule="exact"/>
              <w:jc w:val="left"/>
              <w:rPr>
                <w:rFonts w:eastAsia="方正书宋_GBK"/>
              </w:rPr>
            </w:pPr>
          </w:p>
        </w:tc>
      </w:tr>
    </w:tbl>
    <w:p>
      <w:pPr>
        <w:spacing w:line="560" w:lineRule="exact"/>
        <w:ind w:firstLine="600" w:firstLineChars="200"/>
        <w:rPr>
          <w:rFonts w:hint="eastAsia" w:ascii="仿宋" w:hAnsi="仿宋" w:eastAsia="仿宋" w:cs="仿宋"/>
          <w:color w:val="000000"/>
          <w:sz w:val="30"/>
          <w:szCs w:val="30"/>
        </w:rPr>
      </w:pPr>
    </w:p>
    <w:p>
      <w:pPr>
        <w:spacing w:line="560" w:lineRule="exact"/>
        <w:ind w:firstLine="640" w:firstLineChars="200"/>
        <w:rPr>
          <w:rFonts w:ascii="宋体" w:hAnsi="宋体" w:cs="黑体"/>
          <w:color w:val="000000"/>
          <w:sz w:val="32"/>
          <w:szCs w:val="32"/>
        </w:rPr>
      </w:pPr>
      <w:r>
        <w:rPr>
          <w:rFonts w:hint="eastAsia" w:ascii="宋体" w:hAnsi="宋体" w:cs="黑体"/>
          <w:color w:val="000000"/>
          <w:sz w:val="32"/>
          <w:szCs w:val="32"/>
        </w:rPr>
        <w:t>三、收支增减变化情况说明</w:t>
      </w:r>
    </w:p>
    <w:p>
      <w:pPr>
        <w:spacing w:line="560" w:lineRule="exact"/>
        <w:ind w:firstLine="600" w:firstLineChars="200"/>
        <w:rPr>
          <w:rFonts w:ascii="仿宋" w:hAnsi="仿宋" w:eastAsia="仿宋" w:cs="黑体"/>
          <w:color w:val="000000"/>
          <w:sz w:val="30"/>
          <w:szCs w:val="30"/>
        </w:rPr>
      </w:pPr>
      <w:r>
        <w:rPr>
          <w:rFonts w:hint="eastAsia" w:ascii="仿宋" w:hAnsi="仿宋" w:eastAsia="仿宋" w:cs="黑体"/>
          <w:color w:val="000000"/>
          <w:sz w:val="30"/>
          <w:szCs w:val="30"/>
        </w:rPr>
        <w:t>1.综合收支与上年决算数对比分析</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本单位本年收入为887.28万元，较去年的922.28万元减少35万元，原因为正常市场波动。其中，一般公共预算财政拨款本年为887.28万元，较去年的789.31万元增加97.97万元，原因为人员工资调增；政府性基金预算财政拨款本年无。</w:t>
      </w:r>
    </w:p>
    <w:p>
      <w:pPr>
        <w:ind w:firstLine="600" w:firstLineChars="200"/>
        <w:rPr>
          <w:rFonts w:ascii="仿宋" w:hAnsi="仿宋" w:eastAsia="仿宋" w:cs="仿宋"/>
          <w:sz w:val="30"/>
          <w:szCs w:val="30"/>
        </w:rPr>
      </w:pPr>
      <w:r>
        <w:rPr>
          <w:rFonts w:hint="eastAsia" w:ascii="仿宋" w:hAnsi="仿宋" w:eastAsia="仿宋" w:cs="仿宋"/>
          <w:sz w:val="30"/>
          <w:szCs w:val="30"/>
        </w:rPr>
        <w:t>（2）本年支出1020.25万元，较去年的800.5万元增加219.75万元。其中，基本支出本年为887.28万元，较去年的750.5万元增加了136.78万元，原因为人员工资调增；项目支出本年为132.97万元，较去年的50万元增加了82.97万元，原因为</w:t>
      </w:r>
      <w:r>
        <w:rPr>
          <w:rFonts w:hint="eastAsia" w:ascii="仿宋" w:hAnsi="仿宋" w:eastAsia="仿宋"/>
          <w:sz w:val="30"/>
          <w:szCs w:val="30"/>
        </w:rPr>
        <w:t>用于</w:t>
      </w:r>
      <w:r>
        <w:rPr>
          <w:rFonts w:hint="eastAsia" w:ascii="仿宋" w:hAnsi="仿宋" w:eastAsia="仿宋" w:cs="黑体"/>
          <w:color w:val="000000"/>
          <w:sz w:val="30"/>
          <w:szCs w:val="30"/>
        </w:rPr>
        <w:t>支付破产或改制企业职工安置费</w:t>
      </w:r>
      <w:r>
        <w:rPr>
          <w:rFonts w:hint="eastAsia" w:ascii="仿宋" w:hAnsi="仿宋" w:eastAsia="仿宋" w:cs="仿宋"/>
          <w:sz w:val="30"/>
          <w:szCs w:val="30"/>
        </w:rPr>
        <w:t>。</w:t>
      </w:r>
    </w:p>
    <w:p>
      <w:pPr>
        <w:spacing w:line="560" w:lineRule="exact"/>
        <w:rPr>
          <w:rFonts w:ascii="仿宋" w:hAnsi="仿宋" w:eastAsia="仿宋" w:cs="仿宋"/>
          <w:color w:val="FF0000"/>
          <w:sz w:val="30"/>
          <w:szCs w:val="30"/>
        </w:rPr>
      </w:pPr>
    </w:p>
    <w:p>
      <w:pPr>
        <w:spacing w:line="560" w:lineRule="exact"/>
        <w:ind w:firstLine="640" w:firstLineChars="200"/>
        <w:rPr>
          <w:rFonts w:ascii="仿宋" w:hAnsi="仿宋" w:eastAsia="仿宋" w:cs="黑体"/>
          <w:sz w:val="30"/>
          <w:szCs w:val="30"/>
        </w:rPr>
      </w:pPr>
      <w:r>
        <w:rPr>
          <w:rFonts w:hint="eastAsia" w:ascii="宋体" w:hAnsi="宋体" w:cs="黑体"/>
          <w:color w:val="000000"/>
          <w:sz w:val="32"/>
          <w:szCs w:val="32"/>
        </w:rPr>
        <w:t>四、机关运行经费安排情况</w:t>
      </w:r>
    </w:p>
    <w:p>
      <w:pPr>
        <w:spacing w:line="560" w:lineRule="exact"/>
        <w:ind w:firstLine="600" w:firstLineChars="200"/>
        <w:rPr>
          <w:rFonts w:ascii="仿宋" w:hAnsi="仿宋" w:eastAsia="仿宋"/>
          <w:sz w:val="30"/>
          <w:szCs w:val="30"/>
        </w:rPr>
      </w:pPr>
      <w:r>
        <w:rPr>
          <w:rFonts w:ascii="仿宋" w:hAnsi="仿宋" w:eastAsia="仿宋" w:cs="仿宋"/>
          <w:sz w:val="30"/>
          <w:szCs w:val="30"/>
        </w:rPr>
        <w:t>201</w:t>
      </w:r>
      <w:r>
        <w:rPr>
          <w:rFonts w:hint="eastAsia" w:ascii="仿宋" w:hAnsi="仿宋" w:eastAsia="仿宋" w:cs="仿宋"/>
          <w:sz w:val="30"/>
          <w:szCs w:val="30"/>
        </w:rPr>
        <w:t>7年机关运行经费共计113.43万元，主要包括用于保证机关正常运转的办公费、邮电费、差旅费、福利费、水电费、办公取暖费、日常维修费、物业管理费、公务车运行维护费等支出。</w:t>
      </w:r>
    </w:p>
    <w:p>
      <w:pPr>
        <w:spacing w:line="560" w:lineRule="exact"/>
        <w:ind w:firstLine="640" w:firstLineChars="200"/>
        <w:rPr>
          <w:rFonts w:ascii="仿宋" w:hAnsi="仿宋" w:eastAsia="仿宋" w:cs="黑体"/>
          <w:color w:val="000000"/>
          <w:sz w:val="30"/>
          <w:szCs w:val="30"/>
        </w:rPr>
      </w:pPr>
      <w:r>
        <w:rPr>
          <w:rFonts w:hint="eastAsia" w:ascii="宋体" w:hAnsi="宋体" w:cs="黑体"/>
          <w:color w:val="000000"/>
          <w:sz w:val="32"/>
          <w:szCs w:val="32"/>
        </w:rPr>
        <w:t>五、财政拨款“三公”经费决算情况</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2017年度部门决算“三公”经费总额13万元，年初预算数13万元、上年决算数32.68万元。减少主要原因为：无出国出境费，减少了公务用车，缩减经费，具体情况如下：</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1. 2017年公务用车运行维护费12.41万元，比去年减少了14.79万元。公务用车保有量为4辆，比去年减少了3辆</w:t>
      </w:r>
      <w:r>
        <w:rPr>
          <w:rFonts w:hint="eastAsia" w:ascii="仿宋" w:hAnsi="仿宋" w:eastAsia="仿宋"/>
          <w:sz w:val="30"/>
          <w:szCs w:val="30"/>
          <w:lang w:eastAsia="zh-CN"/>
        </w:rPr>
        <w:t>，</w:t>
      </w:r>
      <w:r>
        <w:rPr>
          <w:rFonts w:hint="eastAsia" w:ascii="仿宋" w:hAnsi="仿宋" w:eastAsia="仿宋"/>
          <w:sz w:val="30"/>
          <w:szCs w:val="30"/>
          <w:lang w:val="en-US" w:eastAsia="zh-CN"/>
        </w:rPr>
        <w:t>原因为公车改革</w:t>
      </w:r>
      <w:r>
        <w:rPr>
          <w:rFonts w:hint="eastAsia" w:ascii="仿宋" w:hAnsi="仿宋" w:eastAsia="仿宋"/>
          <w:sz w:val="30"/>
          <w:szCs w:val="30"/>
        </w:rPr>
        <w:t>。</w:t>
      </w:r>
    </w:p>
    <w:p>
      <w:pPr>
        <w:spacing w:line="560" w:lineRule="exact"/>
        <w:ind w:firstLine="600" w:firstLineChars="200"/>
        <w:rPr>
          <w:rFonts w:hint="eastAsia" w:ascii="仿宋" w:hAnsi="仿宋" w:eastAsia="仿宋"/>
          <w:sz w:val="30"/>
          <w:szCs w:val="30"/>
          <w:lang w:val="en-US" w:eastAsia="zh-CN"/>
        </w:rPr>
      </w:pPr>
      <w:r>
        <w:rPr>
          <w:rFonts w:hint="eastAsia" w:ascii="仿宋" w:hAnsi="仿宋" w:eastAsia="仿宋"/>
          <w:sz w:val="30"/>
          <w:szCs w:val="30"/>
        </w:rPr>
        <w:t>2. 2017年公务接待费0.59万元，比去年减少了0.29万元</w:t>
      </w:r>
      <w:r>
        <w:rPr>
          <w:rFonts w:hint="eastAsia" w:ascii="仿宋" w:hAnsi="仿宋" w:eastAsia="仿宋"/>
          <w:sz w:val="30"/>
          <w:szCs w:val="30"/>
          <w:lang w:eastAsia="zh-CN"/>
        </w:rPr>
        <w:t>，</w:t>
      </w:r>
      <w:r>
        <w:rPr>
          <w:rFonts w:hint="eastAsia" w:ascii="仿宋" w:hAnsi="仿宋" w:eastAsia="仿宋"/>
          <w:sz w:val="30"/>
          <w:szCs w:val="30"/>
          <w:lang w:val="en-US" w:eastAsia="zh-CN"/>
        </w:rPr>
        <w:t>原因为缩减经费</w:t>
      </w:r>
      <w:r>
        <w:rPr>
          <w:rFonts w:hint="eastAsia" w:ascii="仿宋" w:hAnsi="仿宋" w:eastAsia="仿宋"/>
          <w:sz w:val="30"/>
          <w:szCs w:val="30"/>
        </w:rPr>
        <w:t>。</w:t>
      </w:r>
      <w:r>
        <w:rPr>
          <w:rFonts w:hint="eastAsia" w:ascii="仿宋" w:hAnsi="仿宋" w:eastAsia="仿宋"/>
          <w:sz w:val="30"/>
          <w:szCs w:val="30"/>
          <w:lang w:val="en-US" w:eastAsia="zh-CN"/>
        </w:rPr>
        <w:t xml:space="preserve">公务接待批次6次，人数为36人。 </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3.因公出国（境）费无。</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4. 无公务用车购置费。</w:t>
      </w:r>
    </w:p>
    <w:p>
      <w:pPr>
        <w:spacing w:line="560" w:lineRule="exact"/>
        <w:ind w:firstLine="640" w:firstLineChars="200"/>
        <w:rPr>
          <w:rFonts w:ascii="仿宋" w:hAnsi="仿宋" w:eastAsia="仿宋" w:cs="黑体"/>
          <w:color w:val="000000"/>
          <w:sz w:val="30"/>
          <w:szCs w:val="30"/>
        </w:rPr>
      </w:pPr>
      <w:r>
        <w:rPr>
          <w:rFonts w:hint="eastAsia" w:ascii="宋体" w:hAnsi="宋体" w:cs="黑体"/>
          <w:color w:val="000000"/>
          <w:sz w:val="32"/>
          <w:szCs w:val="32"/>
        </w:rPr>
        <w:t>六、政府采购预算执行情况</w:t>
      </w:r>
    </w:p>
    <w:p>
      <w:pPr>
        <w:spacing w:line="560" w:lineRule="exact"/>
        <w:ind w:firstLine="600" w:firstLineChars="200"/>
        <w:rPr>
          <w:rFonts w:ascii="仿宋" w:hAnsi="仿宋" w:eastAsia="仿宋" w:cs="仿宋"/>
          <w:sz w:val="30"/>
          <w:szCs w:val="30"/>
        </w:rPr>
      </w:pPr>
      <w:r>
        <w:rPr>
          <w:rFonts w:hint="eastAsia" w:ascii="仿宋" w:hAnsi="仿宋" w:eastAsia="仿宋"/>
          <w:kern w:val="0"/>
          <w:sz w:val="30"/>
          <w:szCs w:val="30"/>
        </w:rPr>
        <w:t>2017年度部门政府采购预算数2.9万元，决算数2.9万元资金来源全部为财政性资金。均为货物类政府采购预算数2.9 万元，比去年减少了29.1万元。减少原因为去年产权交易中心项目中采购了办公设备。</w:t>
      </w:r>
    </w:p>
    <w:p>
      <w:pPr>
        <w:spacing w:line="560" w:lineRule="exact"/>
        <w:ind w:firstLine="640" w:firstLineChars="200"/>
        <w:rPr>
          <w:rFonts w:ascii="仿宋" w:hAnsi="仿宋" w:eastAsia="仿宋" w:cs="黑体"/>
          <w:color w:val="000000"/>
          <w:sz w:val="30"/>
          <w:szCs w:val="30"/>
        </w:rPr>
      </w:pPr>
      <w:r>
        <w:rPr>
          <w:rFonts w:hint="eastAsia" w:ascii="宋体" w:hAnsi="宋体" w:cs="黑体"/>
          <w:color w:val="000000"/>
          <w:sz w:val="32"/>
          <w:szCs w:val="32"/>
        </w:rPr>
        <w:t>七、名词解释</w:t>
      </w:r>
    </w:p>
    <w:p>
      <w:pPr>
        <w:spacing w:line="560" w:lineRule="exact"/>
        <w:ind w:firstLine="600" w:firstLineChars="200"/>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．基本支出：是指为保障机构正常运转，完成日常工作任务而发生的人员支出和公用支出。</w:t>
      </w:r>
    </w:p>
    <w:p>
      <w:pPr>
        <w:spacing w:line="560" w:lineRule="exact"/>
        <w:ind w:firstLine="600" w:firstLineChars="200"/>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．项目支出：指在基本支出之外为完成特定行政任务和事业发展目标所发生的支出。</w:t>
      </w:r>
    </w:p>
    <w:p>
      <w:pPr>
        <w:spacing w:line="560" w:lineRule="exact"/>
        <w:ind w:firstLine="600" w:firstLineChars="200"/>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机关运行费：是指为保证行政单位（包括参照公务员管理的事业单位）运行，用于购买货物和服务的各项资金。主要包括：办公费、水费、电费、邮电费、福利费、日常维修费、办公取暖费、物业服务费、公务车运行维护费等。</w:t>
      </w:r>
    </w:p>
    <w:p>
      <w:pPr>
        <w:spacing w:line="560" w:lineRule="exact"/>
        <w:ind w:firstLine="640" w:firstLineChars="200"/>
        <w:rPr>
          <w:rFonts w:hint="eastAsia" w:ascii="仿宋" w:hAnsi="仿宋" w:eastAsia="宋体" w:cs="黑体"/>
          <w:color w:val="000000"/>
          <w:sz w:val="30"/>
          <w:szCs w:val="30"/>
          <w:lang w:eastAsia="zh-CN"/>
        </w:rPr>
      </w:pPr>
      <w:r>
        <w:rPr>
          <w:rFonts w:hint="eastAsia" w:ascii="宋体" w:hAnsi="宋体" w:cs="黑体"/>
          <w:color w:val="000000"/>
          <w:sz w:val="32"/>
          <w:szCs w:val="32"/>
        </w:rPr>
        <w:t>八、</w:t>
      </w:r>
      <w:r>
        <w:rPr>
          <w:rFonts w:hint="eastAsia" w:ascii="宋体" w:hAnsi="宋体" w:cs="黑体"/>
          <w:color w:val="000000"/>
          <w:sz w:val="32"/>
          <w:szCs w:val="32"/>
          <w:lang w:eastAsia="zh-CN"/>
        </w:rPr>
        <w:t>重点项目绩效评价情况</w:t>
      </w:r>
    </w:p>
    <w:p>
      <w:pPr>
        <w:ind w:firstLine="600" w:firstLineChars="200"/>
        <w:jc w:val="left"/>
        <w:rPr>
          <w:rFonts w:ascii="仿宋" w:hAnsi="仿宋" w:eastAsia="仿宋"/>
          <w:sz w:val="30"/>
          <w:szCs w:val="30"/>
        </w:rPr>
      </w:pPr>
      <w:r>
        <w:rPr>
          <w:rFonts w:hint="eastAsia" w:ascii="仿宋" w:hAnsi="仿宋" w:eastAsia="仿宋"/>
          <w:sz w:val="30"/>
          <w:szCs w:val="30"/>
        </w:rPr>
        <w:t>1、</w:t>
      </w:r>
      <w:r>
        <w:rPr>
          <w:rFonts w:ascii="仿宋" w:hAnsi="仿宋" w:eastAsia="仿宋"/>
          <w:sz w:val="30"/>
          <w:szCs w:val="30"/>
        </w:rPr>
        <w:t>201</w:t>
      </w:r>
      <w:r>
        <w:rPr>
          <w:rFonts w:hint="eastAsia" w:ascii="仿宋" w:hAnsi="仿宋" w:eastAsia="仿宋"/>
          <w:sz w:val="30"/>
          <w:szCs w:val="30"/>
        </w:rPr>
        <w:t>7年我部门政府性基金预算财政拨款支出132.97万元，用于</w:t>
      </w:r>
      <w:r>
        <w:rPr>
          <w:rFonts w:hint="eastAsia" w:ascii="仿宋" w:hAnsi="仿宋" w:eastAsia="仿宋" w:cs="黑体"/>
          <w:color w:val="000000"/>
          <w:sz w:val="30"/>
          <w:szCs w:val="30"/>
        </w:rPr>
        <w:t>支付破产或改制企业职工安置费。</w:t>
      </w:r>
    </w:p>
    <w:p>
      <w:pPr>
        <w:ind w:firstLine="600" w:firstLineChars="200"/>
        <w:jc w:val="left"/>
        <w:rPr>
          <w:rFonts w:hint="default" w:ascii="仿宋" w:hAnsi="仿宋" w:eastAsia="仿宋"/>
          <w:sz w:val="30"/>
          <w:szCs w:val="30"/>
        </w:rPr>
      </w:pPr>
      <w:r>
        <w:rPr>
          <w:rFonts w:hint="eastAsia" w:ascii="仿宋" w:hAnsi="仿宋" w:eastAsia="仿宋"/>
          <w:sz w:val="30"/>
          <w:szCs w:val="30"/>
          <w:lang w:eastAsia="zh-CN"/>
        </w:rPr>
        <w:t>此项资金用于我单位下属企业</w:t>
      </w:r>
      <w:r>
        <w:rPr>
          <w:rFonts w:hint="default" w:ascii="仿宋" w:hAnsi="仿宋" w:eastAsia="仿宋"/>
          <w:sz w:val="30"/>
          <w:szCs w:val="30"/>
        </w:rPr>
        <w:t>唐山市棉麻总公司</w:t>
      </w:r>
      <w:r>
        <w:rPr>
          <w:rFonts w:hint="eastAsia" w:ascii="仿宋" w:hAnsi="仿宋" w:eastAsia="仿宋"/>
          <w:sz w:val="30"/>
          <w:szCs w:val="30"/>
          <w:lang w:eastAsia="zh-CN"/>
        </w:rPr>
        <w:t>，公司</w:t>
      </w:r>
      <w:r>
        <w:rPr>
          <w:rFonts w:hint="default" w:ascii="仿宋" w:hAnsi="仿宋" w:eastAsia="仿宋"/>
          <w:sz w:val="30"/>
          <w:szCs w:val="30"/>
        </w:rPr>
        <w:t>于2017年6月26日收到唐山供销合作集团有限公司拨付的土地出让金132.97万元，此费用专项用于唐山市贾庵子储运公司（工资：29.32万，五险一金17.59万元）和唐山市久顺仓储有限公司（工资：47.73万，五险一金64.72万元）职工开支使用，费用合计159.36万元。</w:t>
      </w:r>
    </w:p>
    <w:p>
      <w:pPr>
        <w:spacing w:line="560" w:lineRule="exact"/>
        <w:ind w:firstLine="640" w:firstLineChars="200"/>
        <w:rPr>
          <w:rFonts w:ascii="仿宋_GB2312" w:eastAsia="仿宋_GB2312"/>
          <w:sz w:val="32"/>
          <w:szCs w:val="32"/>
        </w:rPr>
      </w:pPr>
    </w:p>
    <w:sectPr>
      <w:headerReference r:id="rId3" w:type="default"/>
      <w:footerReference r:id="rId4" w:type="even"/>
      <w:pgSz w:w="11907" w:h="16839"/>
      <w:pgMar w:top="1021" w:right="1361" w:bottom="1021" w:left="136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0000000000000000000"/>
    <w:charset w:val="86"/>
    <w:family w:val="auto"/>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方正书宋_GBK">
    <w:altName w:val="Arial Unicode MS"/>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fldChar w:fldCharType="begin"/>
    </w:r>
    <w:r>
      <w:instrText xml:space="preserve">PAGE   \* MERGEFORMAT</w:instrText>
    </w:r>
    <w:r>
      <w:fldChar w:fldCharType="separate"/>
    </w:r>
    <w:r>
      <w:rPr>
        <w:lang w:val="zh-CN"/>
      </w:rPr>
      <w:t>6</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9405EA"/>
    <w:multiLevelType w:val="singleLevel"/>
    <w:tmpl w:val="509405E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31B"/>
    <w:rsid w:val="000250FA"/>
    <w:rsid w:val="00032579"/>
    <w:rsid w:val="00071700"/>
    <w:rsid w:val="0009482B"/>
    <w:rsid w:val="000A0565"/>
    <w:rsid w:val="000C06DA"/>
    <w:rsid w:val="000D7917"/>
    <w:rsid w:val="000E5AED"/>
    <w:rsid w:val="000F1C2E"/>
    <w:rsid w:val="001075CF"/>
    <w:rsid w:val="00125C86"/>
    <w:rsid w:val="00131DF7"/>
    <w:rsid w:val="00151705"/>
    <w:rsid w:val="001550F2"/>
    <w:rsid w:val="00172A27"/>
    <w:rsid w:val="001A4F13"/>
    <w:rsid w:val="001B111B"/>
    <w:rsid w:val="001E399B"/>
    <w:rsid w:val="001E5B3C"/>
    <w:rsid w:val="001F0210"/>
    <w:rsid w:val="002336BC"/>
    <w:rsid w:val="00292A1E"/>
    <w:rsid w:val="00295B12"/>
    <w:rsid w:val="002B188A"/>
    <w:rsid w:val="002F0217"/>
    <w:rsid w:val="00307BAF"/>
    <w:rsid w:val="003169D8"/>
    <w:rsid w:val="003410B1"/>
    <w:rsid w:val="00353811"/>
    <w:rsid w:val="003759D6"/>
    <w:rsid w:val="0038796B"/>
    <w:rsid w:val="0039292F"/>
    <w:rsid w:val="003A7B73"/>
    <w:rsid w:val="003C5C80"/>
    <w:rsid w:val="003F1F25"/>
    <w:rsid w:val="003F2E3B"/>
    <w:rsid w:val="004034A8"/>
    <w:rsid w:val="00404422"/>
    <w:rsid w:val="00433039"/>
    <w:rsid w:val="0044719A"/>
    <w:rsid w:val="00450280"/>
    <w:rsid w:val="004627EF"/>
    <w:rsid w:val="00477F1D"/>
    <w:rsid w:val="00495AFC"/>
    <w:rsid w:val="004C5C5B"/>
    <w:rsid w:val="004E472B"/>
    <w:rsid w:val="005113C3"/>
    <w:rsid w:val="005150F1"/>
    <w:rsid w:val="00524E81"/>
    <w:rsid w:val="00542DDE"/>
    <w:rsid w:val="005511B3"/>
    <w:rsid w:val="00564467"/>
    <w:rsid w:val="0059676D"/>
    <w:rsid w:val="005A00D3"/>
    <w:rsid w:val="005E3FD4"/>
    <w:rsid w:val="005E4755"/>
    <w:rsid w:val="00606D15"/>
    <w:rsid w:val="00611F92"/>
    <w:rsid w:val="0064518B"/>
    <w:rsid w:val="00650F16"/>
    <w:rsid w:val="00664161"/>
    <w:rsid w:val="00671921"/>
    <w:rsid w:val="00694628"/>
    <w:rsid w:val="006B591A"/>
    <w:rsid w:val="006E033F"/>
    <w:rsid w:val="006E79D3"/>
    <w:rsid w:val="006F541E"/>
    <w:rsid w:val="00747059"/>
    <w:rsid w:val="0075088D"/>
    <w:rsid w:val="00792B5E"/>
    <w:rsid w:val="007D73FD"/>
    <w:rsid w:val="007E08C5"/>
    <w:rsid w:val="00800BA4"/>
    <w:rsid w:val="00801ADC"/>
    <w:rsid w:val="00804C15"/>
    <w:rsid w:val="008066AA"/>
    <w:rsid w:val="00806966"/>
    <w:rsid w:val="00810785"/>
    <w:rsid w:val="0082611F"/>
    <w:rsid w:val="00826FBC"/>
    <w:rsid w:val="00830453"/>
    <w:rsid w:val="008307E5"/>
    <w:rsid w:val="0083207F"/>
    <w:rsid w:val="00834CFC"/>
    <w:rsid w:val="0085080E"/>
    <w:rsid w:val="00882892"/>
    <w:rsid w:val="008864BA"/>
    <w:rsid w:val="00894BD3"/>
    <w:rsid w:val="008955F6"/>
    <w:rsid w:val="008A11E5"/>
    <w:rsid w:val="008B3270"/>
    <w:rsid w:val="008F0E25"/>
    <w:rsid w:val="008F7BF1"/>
    <w:rsid w:val="00916A7F"/>
    <w:rsid w:val="00931189"/>
    <w:rsid w:val="00971B4C"/>
    <w:rsid w:val="0099170E"/>
    <w:rsid w:val="009E1128"/>
    <w:rsid w:val="009E2806"/>
    <w:rsid w:val="00A03358"/>
    <w:rsid w:val="00A15481"/>
    <w:rsid w:val="00A35C45"/>
    <w:rsid w:val="00A45D13"/>
    <w:rsid w:val="00A46933"/>
    <w:rsid w:val="00A556E9"/>
    <w:rsid w:val="00A82CA2"/>
    <w:rsid w:val="00AA566F"/>
    <w:rsid w:val="00AC3918"/>
    <w:rsid w:val="00AC526F"/>
    <w:rsid w:val="00AE0C34"/>
    <w:rsid w:val="00AE19DC"/>
    <w:rsid w:val="00B06B1E"/>
    <w:rsid w:val="00B22636"/>
    <w:rsid w:val="00B63A81"/>
    <w:rsid w:val="00B743FF"/>
    <w:rsid w:val="00BA7385"/>
    <w:rsid w:val="00BC672E"/>
    <w:rsid w:val="00BD7CAA"/>
    <w:rsid w:val="00C133EA"/>
    <w:rsid w:val="00C751E4"/>
    <w:rsid w:val="00C807C6"/>
    <w:rsid w:val="00C90189"/>
    <w:rsid w:val="00CF5A83"/>
    <w:rsid w:val="00D51DC1"/>
    <w:rsid w:val="00D524B3"/>
    <w:rsid w:val="00D60A93"/>
    <w:rsid w:val="00D80E9B"/>
    <w:rsid w:val="00D97E0A"/>
    <w:rsid w:val="00DA7729"/>
    <w:rsid w:val="00DD57FC"/>
    <w:rsid w:val="00DE3470"/>
    <w:rsid w:val="00DF2548"/>
    <w:rsid w:val="00DF729B"/>
    <w:rsid w:val="00E3193F"/>
    <w:rsid w:val="00E5663D"/>
    <w:rsid w:val="00E72079"/>
    <w:rsid w:val="00EA5A27"/>
    <w:rsid w:val="00ED46DB"/>
    <w:rsid w:val="00F10FBA"/>
    <w:rsid w:val="00F13353"/>
    <w:rsid w:val="00F243FB"/>
    <w:rsid w:val="00F45F1D"/>
    <w:rsid w:val="00F63602"/>
    <w:rsid w:val="00F73083"/>
    <w:rsid w:val="00FA05C3"/>
    <w:rsid w:val="00FB44E5"/>
    <w:rsid w:val="02EE5BE2"/>
    <w:rsid w:val="1191394B"/>
    <w:rsid w:val="2BEB0F8D"/>
    <w:rsid w:val="2E54392E"/>
    <w:rsid w:val="31B67D25"/>
    <w:rsid w:val="38A9051E"/>
    <w:rsid w:val="3B875F3F"/>
    <w:rsid w:val="429F47E6"/>
    <w:rsid w:val="4E256CF7"/>
    <w:rsid w:val="5BF55E67"/>
    <w:rsid w:val="5CAF34B0"/>
    <w:rsid w:val="60DD33DE"/>
    <w:rsid w:val="62F11C3A"/>
    <w:rsid w:val="63324AD3"/>
    <w:rsid w:val="6AEA257E"/>
    <w:rsid w:val="75CF0779"/>
    <w:rsid w:val="79A05B25"/>
    <w:rsid w:val="7AD00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qFormat/>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9">
    <w:name w:val="Char Char"/>
    <w:qFormat/>
    <w:uiPriority w:val="0"/>
    <w:rPr>
      <w:rFonts w:eastAsia="宋体"/>
      <w:kern w:val="2"/>
      <w:sz w:val="18"/>
      <w:szCs w:val="18"/>
      <w:lang w:val="en-US" w:eastAsia="zh-CN" w:bidi="ar-SA"/>
    </w:rPr>
  </w:style>
  <w:style w:type="character" w:customStyle="1" w:styleId="10">
    <w:name w:val="页眉 Char Char"/>
    <w:qFormat/>
    <w:uiPriority w:val="0"/>
    <w:rPr>
      <w:rFonts w:eastAsia="宋体"/>
      <w:kern w:val="2"/>
      <w:sz w:val="18"/>
      <w:szCs w:val="18"/>
      <w:lang w:val="en-US" w:eastAsia="zh-CN" w:bidi="ar-SA"/>
    </w:rPr>
  </w:style>
  <w:style w:type="paragraph" w:customStyle="1" w:styleId="11">
    <w:name w:val="标题3"/>
    <w:basedOn w:val="1"/>
    <w:qFormat/>
    <w:uiPriority w:val="0"/>
    <w:pPr>
      <w:widowControl/>
      <w:spacing w:line="590" w:lineRule="atLeast"/>
      <w:ind w:firstLine="624"/>
    </w:pPr>
    <w:rPr>
      <w:rFonts w:eastAsia="Times New Roman"/>
      <w:kern w:val="0"/>
      <w:sz w:val="32"/>
      <w:szCs w:val="20"/>
      <w:lang w:eastAsia="en-US"/>
    </w:rPr>
  </w:style>
  <w:style w:type="character" w:customStyle="1" w:styleId="12">
    <w:name w:val="日期 Char"/>
    <w:basedOn w:val="6"/>
    <w:link w:val="2"/>
    <w:semiHidden/>
    <w:qFormat/>
    <w:uiPriority w:val="99"/>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gk</Company>
  <Pages>3</Pages>
  <Words>251</Words>
  <Characters>1435</Characters>
  <Lines>11</Lines>
  <Paragraphs>3</Paragraphs>
  <TotalTime>6</TotalTime>
  <ScaleCrop>false</ScaleCrop>
  <LinksUpToDate>false</LinksUpToDate>
  <CharactersWithSpaces>1683</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2017-11-02T05:50:00Z</dcterms:created>
  <dc:creator>Juesuan</dc:creator>
  <cp:lastModifiedBy>only</cp:lastModifiedBy>
  <cp:lastPrinted>2017-02-04T03:25:00Z</cp:lastPrinted>
  <dcterms:modified xsi:type="dcterms:W3CDTF">2019-01-30T08:23:44Z</dcterms:modified>
  <dc:title>中央部门决算编报说明基本格式（讨论稿）</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