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19"/>
        <w:gridCol w:w="977"/>
        <w:gridCol w:w="1013"/>
        <w:gridCol w:w="624"/>
        <w:gridCol w:w="972"/>
        <w:gridCol w:w="2881"/>
        <w:gridCol w:w="1022"/>
        <w:gridCol w:w="5343"/>
        <w:gridCol w:w="1057"/>
        <w:gridCol w:w="615"/>
      </w:tblGrid>
      <w:tr>
        <w:trPr>
          <w:trHeight w:val="942" w:hRule="atLeast"/>
        </w:trPr>
        <w:tc>
          <w:tcPr>
            <w:tcW w:w="1567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唐山市统计局随机抽查市场监管执法事项清单（2020年版）</w:t>
            </w:r>
          </w:p>
        </w:tc>
      </w:tr>
      <w:tr>
        <w:trPr>
          <w:trHeight w:val="84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检查项目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检查子项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事项类别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检查主体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检查依据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检查方式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检查内容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是否适用跨部门联合“双随机”抽查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rPr>
          <w:trHeight w:val="1279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市统计局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对调查对象贯彻执行统计法律法规规章及统计制度情况检查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调查对象依法提供统计资料情况检查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一般检查事项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市、县统计局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《中华人民共和国统计法》第七条、第三十五条；《中华人民共和国统计法实施条例》第四条第二款、第四条第三款；《河北省统计条例》第六条。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实地检查、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书面检查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农业、工业、能源、投资、人口就业、社会科技和文化产业、服务业、贸易外经等专业统计数据的真实性、准确性、完整性。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38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调查对象依法建立原始记录、统计台账和统计资料管理制度情况检查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一般检查事项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市、县统计局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华人民共和国统计法》第二十一条、第三十五条；《中华人民共和国统计法实施条例》第二十一条第一款、第二十二条第一款、第二十二条第二款、第二十三条；《河北省统计条例》第二十二条、第二十三条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实地检查、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书面检查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原始记录、统计台账和统计资料管理制度等基础工作建设及相关制度落实情况。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6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002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对涉外统计调查活动的检查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涉外调查机构从事涉外调查资格检查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一般检查事项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市、县级统计局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《中华人民共和国统计法》第四十九条第二款；《中华人民共和国统计法实施条例》第五十二条；《涉外调查管理办法》第四条、第十四条、第二十一条。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报批审核，实地检查，书面检查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依法成立，具有法人资格；经营范围或业务范围包含市场调查或者社会调查内容；具有熟悉国家有关涉外调查管理规定的人员；具备与所从事涉外调查相适应的调查能力；在申请之日前一年内开展三项以上调查项目，或者调查营业额达到三十万元； 有严格、健全的资料保密制度；在最近两年内无重大违法记录。注：业务范围内含有市场调查内容的境外组织在华机构符合3、6、7项条件的，可以申请涉外调查许可证，在境内直接进行与本机构有关的商品或者商业服务的市场调查；但是，不得从事社会调查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134" w:right="624" w:bottom="850" w:left="567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</dc:creator>
  <dcterms:modified xsi:type="dcterms:W3CDTF">2020-06-04T15:44:09Z</dcterms:modified>
  <dc:title>白菜临风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